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487" w:rsidRPr="00542B74" w:rsidRDefault="00DE2576" w:rsidP="00D41C29">
      <w:pPr>
        <w:tabs>
          <w:tab w:val="left" w:pos="1134"/>
        </w:tabs>
        <w:spacing w:line="240" w:lineRule="auto"/>
        <w:ind w:left="1134"/>
        <w:jc w:val="center"/>
        <w:rPr>
          <w:rFonts w:ascii="Times New Roman" w:hAnsi="Times New Roman" w:cs="Times New Roman"/>
          <w:b/>
          <w:color w:val="0070C0"/>
          <w:sz w:val="32"/>
          <w:szCs w:val="32"/>
          <w:lang w:val="ro-RO"/>
        </w:rPr>
      </w:pPr>
      <w:r w:rsidRPr="00542B74">
        <w:rPr>
          <w:rFonts w:ascii="Times New Roman" w:hAnsi="Times New Roman" w:cs="Times New Roman"/>
          <w:b/>
          <w:color w:val="0070C0"/>
          <w:sz w:val="32"/>
          <w:szCs w:val="32"/>
          <w:lang w:val="ro-RO"/>
        </w:rPr>
        <w:t>Raport</w:t>
      </w:r>
    </w:p>
    <w:p w:rsidR="000D4477" w:rsidRPr="00542B74" w:rsidRDefault="000D4477" w:rsidP="00D41C29">
      <w:pPr>
        <w:tabs>
          <w:tab w:val="left" w:pos="1134"/>
        </w:tabs>
        <w:spacing w:after="0" w:line="240" w:lineRule="auto"/>
        <w:ind w:left="1134"/>
        <w:jc w:val="center"/>
        <w:rPr>
          <w:rFonts w:ascii="Times New Roman" w:hAnsi="Times New Roman" w:cs="Times New Roman"/>
          <w:color w:val="0070C0"/>
          <w:sz w:val="28"/>
          <w:szCs w:val="28"/>
          <w:lang w:val="ro-RO"/>
        </w:rPr>
      </w:pPr>
      <w:r w:rsidRPr="00542B74">
        <w:rPr>
          <w:rFonts w:ascii="Times New Roman" w:hAnsi="Times New Roman" w:cs="Times New Roman"/>
          <w:color w:val="0070C0"/>
          <w:sz w:val="28"/>
          <w:szCs w:val="28"/>
          <w:lang w:val="ro-RO"/>
        </w:rPr>
        <w:t xml:space="preserve">privind progresul înregistrat în </w:t>
      </w:r>
      <w:r w:rsidR="00152C6D" w:rsidRPr="00542B74">
        <w:rPr>
          <w:rFonts w:ascii="Times New Roman" w:hAnsi="Times New Roman" w:cs="Times New Roman"/>
          <w:color w:val="0070C0"/>
          <w:sz w:val="28"/>
          <w:szCs w:val="28"/>
          <w:lang w:val="ro-RO"/>
        </w:rPr>
        <w:t>realizarea</w:t>
      </w:r>
      <w:r w:rsidRPr="00542B74">
        <w:rPr>
          <w:rFonts w:ascii="Times New Roman" w:hAnsi="Times New Roman" w:cs="Times New Roman"/>
          <w:color w:val="0070C0"/>
          <w:sz w:val="28"/>
          <w:szCs w:val="28"/>
          <w:lang w:val="ro-RO"/>
        </w:rPr>
        <w:t xml:space="preserve"> acțiunilor incluse în </w:t>
      </w:r>
    </w:p>
    <w:p w:rsidR="000D4477" w:rsidRPr="00542B74" w:rsidRDefault="000D4477" w:rsidP="00D41C29">
      <w:pPr>
        <w:tabs>
          <w:tab w:val="left" w:pos="1134"/>
        </w:tabs>
        <w:spacing w:after="0" w:line="240" w:lineRule="auto"/>
        <w:ind w:left="1134"/>
        <w:jc w:val="center"/>
        <w:rPr>
          <w:rFonts w:ascii="Times New Roman" w:hAnsi="Times New Roman" w:cs="Times New Roman"/>
          <w:color w:val="0070C0"/>
          <w:sz w:val="28"/>
          <w:szCs w:val="28"/>
          <w:lang w:val="ro-RO"/>
        </w:rPr>
      </w:pPr>
      <w:r w:rsidRPr="00542B74">
        <w:rPr>
          <w:rFonts w:ascii="Times New Roman" w:hAnsi="Times New Roman" w:cs="Times New Roman"/>
          <w:color w:val="0070C0"/>
          <w:sz w:val="28"/>
          <w:szCs w:val="28"/>
          <w:lang w:val="ro-RO"/>
        </w:rPr>
        <w:t>Planul de acțiuni</w:t>
      </w:r>
      <w:r w:rsidR="00B2061E" w:rsidRPr="00542B74">
        <w:rPr>
          <w:rFonts w:ascii="Times New Roman" w:hAnsi="Times New Roman" w:cs="Times New Roman"/>
          <w:color w:val="0070C0"/>
          <w:sz w:val="28"/>
          <w:szCs w:val="28"/>
          <w:lang w:val="ro-RO"/>
        </w:rPr>
        <w:t xml:space="preserve"> anual</w:t>
      </w:r>
      <w:r w:rsidRPr="00542B74">
        <w:rPr>
          <w:rFonts w:ascii="Times New Roman" w:hAnsi="Times New Roman" w:cs="Times New Roman"/>
          <w:color w:val="0070C0"/>
          <w:sz w:val="28"/>
          <w:szCs w:val="28"/>
          <w:lang w:val="ro-RO"/>
        </w:rPr>
        <w:t xml:space="preserve"> al </w:t>
      </w:r>
      <w:r w:rsidRPr="00A37ED4">
        <w:rPr>
          <w:rFonts w:ascii="Times New Roman" w:hAnsi="Times New Roman" w:cs="Times New Roman"/>
          <w:b/>
          <w:color w:val="0070C0"/>
          <w:sz w:val="28"/>
          <w:szCs w:val="28"/>
          <w:lang w:val="ro-RO"/>
        </w:rPr>
        <w:t>Direcției audit intern</w:t>
      </w:r>
      <w:r w:rsidRPr="00542B74">
        <w:rPr>
          <w:rFonts w:ascii="Times New Roman" w:hAnsi="Times New Roman" w:cs="Times New Roman"/>
          <w:color w:val="0070C0"/>
          <w:sz w:val="28"/>
          <w:szCs w:val="28"/>
          <w:lang w:val="ro-RO"/>
        </w:rPr>
        <w:t xml:space="preserve"> </w:t>
      </w:r>
    </w:p>
    <w:p w:rsidR="000D4477" w:rsidRPr="004C7572" w:rsidRDefault="00AB0B48" w:rsidP="00D41C29">
      <w:pPr>
        <w:tabs>
          <w:tab w:val="left" w:pos="1134"/>
        </w:tabs>
        <w:spacing w:after="0" w:line="240" w:lineRule="auto"/>
        <w:ind w:left="1134"/>
        <w:jc w:val="center"/>
        <w:rPr>
          <w:rFonts w:ascii="Times New Roman" w:hAnsi="Times New Roman" w:cs="Times New Roman"/>
          <w:color w:val="0070C0"/>
          <w:sz w:val="28"/>
          <w:szCs w:val="28"/>
          <w:lang w:val="ro-RO"/>
        </w:rPr>
      </w:pPr>
      <w:r w:rsidRPr="004C7572">
        <w:rPr>
          <w:rFonts w:ascii="Times New Roman" w:hAnsi="Times New Roman" w:cs="Times New Roman"/>
          <w:color w:val="0070C0"/>
          <w:sz w:val="28"/>
          <w:szCs w:val="28"/>
          <w:lang w:val="ro-RO"/>
        </w:rPr>
        <w:t>(</w:t>
      </w:r>
      <w:r w:rsidR="000D4477" w:rsidRPr="004C7572">
        <w:rPr>
          <w:rFonts w:ascii="Times New Roman" w:hAnsi="Times New Roman" w:cs="Times New Roman"/>
          <w:color w:val="0070C0"/>
          <w:sz w:val="28"/>
          <w:szCs w:val="28"/>
          <w:lang w:val="ro-RO"/>
        </w:rPr>
        <w:t>01.01.202</w:t>
      </w:r>
      <w:r w:rsidR="00D17DED" w:rsidRPr="004C7572">
        <w:rPr>
          <w:rFonts w:ascii="Times New Roman" w:hAnsi="Times New Roman" w:cs="Times New Roman"/>
          <w:color w:val="0070C0"/>
          <w:sz w:val="28"/>
          <w:szCs w:val="28"/>
          <w:lang w:val="ro-RO"/>
        </w:rPr>
        <w:t>4-31.12</w:t>
      </w:r>
      <w:r w:rsidR="00F943F5" w:rsidRPr="004C7572">
        <w:rPr>
          <w:rFonts w:ascii="Times New Roman" w:hAnsi="Times New Roman" w:cs="Times New Roman"/>
          <w:color w:val="0070C0"/>
          <w:sz w:val="28"/>
          <w:szCs w:val="28"/>
          <w:lang w:val="ro-RO"/>
        </w:rPr>
        <w:t>.2024</w:t>
      </w:r>
      <w:r w:rsidRPr="004C7572">
        <w:rPr>
          <w:rFonts w:ascii="Times New Roman" w:hAnsi="Times New Roman" w:cs="Times New Roman"/>
          <w:color w:val="0070C0"/>
          <w:sz w:val="28"/>
          <w:szCs w:val="28"/>
          <w:lang w:val="ro-RO"/>
        </w:rPr>
        <w:t>)</w:t>
      </w:r>
    </w:p>
    <w:p w:rsidR="00F943F5" w:rsidRPr="00F943F5" w:rsidRDefault="00F943F5" w:rsidP="00D41C29">
      <w:pPr>
        <w:tabs>
          <w:tab w:val="left" w:pos="1134"/>
        </w:tabs>
        <w:spacing w:after="0" w:line="240" w:lineRule="auto"/>
        <w:ind w:left="1134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a3"/>
        <w:tblW w:w="14312" w:type="dxa"/>
        <w:tblInd w:w="1134" w:type="dxa"/>
        <w:tblLook w:val="04A0" w:firstRow="1" w:lastRow="0" w:firstColumn="1" w:lastColumn="0" w:noHBand="0" w:noVBand="1"/>
      </w:tblPr>
      <w:tblGrid>
        <w:gridCol w:w="1779"/>
        <w:gridCol w:w="2629"/>
        <w:gridCol w:w="1327"/>
        <w:gridCol w:w="2509"/>
        <w:gridCol w:w="1682"/>
        <w:gridCol w:w="1551"/>
        <w:gridCol w:w="2835"/>
      </w:tblGrid>
      <w:tr w:rsidR="00F86E9B" w:rsidRPr="00D17DED" w:rsidTr="00854F5D">
        <w:trPr>
          <w:tblHeader/>
        </w:trPr>
        <w:tc>
          <w:tcPr>
            <w:tcW w:w="1779" w:type="dxa"/>
          </w:tcPr>
          <w:p w:rsidR="005A7A83" w:rsidRPr="00CB78A0" w:rsidRDefault="00414091" w:rsidP="00D41C2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B78A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Acțiuni</w:t>
            </w:r>
          </w:p>
        </w:tc>
        <w:tc>
          <w:tcPr>
            <w:tcW w:w="2629" w:type="dxa"/>
          </w:tcPr>
          <w:p w:rsidR="005A7A83" w:rsidRPr="00CB78A0" w:rsidRDefault="00F943F5" w:rsidP="00D41C2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B78A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Sub acțiuni</w:t>
            </w:r>
          </w:p>
        </w:tc>
        <w:tc>
          <w:tcPr>
            <w:tcW w:w="1327" w:type="dxa"/>
          </w:tcPr>
          <w:p w:rsidR="005A7A83" w:rsidRPr="00CB78A0" w:rsidRDefault="00414091" w:rsidP="00D41C2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B78A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Termen de realizare</w:t>
            </w:r>
          </w:p>
        </w:tc>
        <w:tc>
          <w:tcPr>
            <w:tcW w:w="2509" w:type="dxa"/>
          </w:tcPr>
          <w:p w:rsidR="005A7A83" w:rsidRPr="00CB78A0" w:rsidRDefault="00414091" w:rsidP="00D41C2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B78A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Riscuri</w:t>
            </w:r>
          </w:p>
        </w:tc>
        <w:tc>
          <w:tcPr>
            <w:tcW w:w="1682" w:type="dxa"/>
          </w:tcPr>
          <w:p w:rsidR="005A7A83" w:rsidRPr="00CB78A0" w:rsidRDefault="00414091" w:rsidP="00D41C2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B78A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Indicatori de produs/rezultat</w:t>
            </w:r>
          </w:p>
        </w:tc>
        <w:tc>
          <w:tcPr>
            <w:tcW w:w="1551" w:type="dxa"/>
          </w:tcPr>
          <w:p w:rsidR="005A7A83" w:rsidRPr="00CB78A0" w:rsidRDefault="00414091" w:rsidP="00D41C2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B78A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Responsabil</w:t>
            </w:r>
          </w:p>
        </w:tc>
        <w:tc>
          <w:tcPr>
            <w:tcW w:w="2835" w:type="dxa"/>
          </w:tcPr>
          <w:p w:rsidR="005A7A83" w:rsidRPr="00CB78A0" w:rsidRDefault="00414091" w:rsidP="00D41C2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B78A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Notă privind executarea</w:t>
            </w:r>
          </w:p>
        </w:tc>
      </w:tr>
      <w:tr w:rsidR="00F86E9B" w:rsidRPr="00031B00" w:rsidTr="00854F5D">
        <w:trPr>
          <w:tblHeader/>
        </w:trPr>
        <w:tc>
          <w:tcPr>
            <w:tcW w:w="1779" w:type="dxa"/>
          </w:tcPr>
          <w:p w:rsidR="005A7A83" w:rsidRPr="00CB78A0" w:rsidRDefault="00031B00" w:rsidP="00D41C2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B78A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2629" w:type="dxa"/>
          </w:tcPr>
          <w:p w:rsidR="005A7A83" w:rsidRPr="00CB78A0" w:rsidRDefault="00031B00" w:rsidP="00D41C2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B78A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327" w:type="dxa"/>
          </w:tcPr>
          <w:p w:rsidR="005A7A83" w:rsidRPr="00CB78A0" w:rsidRDefault="00031B00" w:rsidP="00D41C2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B78A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2509" w:type="dxa"/>
          </w:tcPr>
          <w:p w:rsidR="005A7A83" w:rsidRPr="00CB78A0" w:rsidRDefault="00031B00" w:rsidP="00D41C2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B78A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1682" w:type="dxa"/>
          </w:tcPr>
          <w:p w:rsidR="005A7A83" w:rsidRPr="00CB78A0" w:rsidRDefault="00031B00" w:rsidP="00D41C2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B78A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551" w:type="dxa"/>
          </w:tcPr>
          <w:p w:rsidR="005A7A83" w:rsidRPr="00CB78A0" w:rsidRDefault="00031B00" w:rsidP="00D41C2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B78A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2835" w:type="dxa"/>
          </w:tcPr>
          <w:p w:rsidR="005A7A83" w:rsidRPr="00CB78A0" w:rsidRDefault="00031B00" w:rsidP="00D41C2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B78A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</w:t>
            </w:r>
          </w:p>
        </w:tc>
      </w:tr>
      <w:tr w:rsidR="00031B00" w:rsidRPr="004C7572" w:rsidTr="0061233F">
        <w:tc>
          <w:tcPr>
            <w:tcW w:w="14312" w:type="dxa"/>
            <w:gridSpan w:val="7"/>
          </w:tcPr>
          <w:p w:rsidR="00031B00" w:rsidRPr="00854F5D" w:rsidRDefault="00031B00" w:rsidP="00D41C29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o-RO"/>
              </w:rPr>
            </w:pPr>
            <w:r w:rsidRPr="00854F5D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o-RO"/>
              </w:rPr>
              <w:t xml:space="preserve">Obiectivul nr. 1 </w:t>
            </w:r>
            <w:r w:rsidR="00B538A1" w:rsidRPr="00854F5D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o-RO"/>
              </w:rPr>
              <w:t>Asigurarea evaluării sistemului de control intern managerial în cadrul Serviciului Vamal.</w:t>
            </w:r>
          </w:p>
        </w:tc>
      </w:tr>
      <w:tr w:rsidR="00A37ED4" w:rsidRPr="00F943F5" w:rsidTr="00854F5D">
        <w:tc>
          <w:tcPr>
            <w:tcW w:w="1779" w:type="dxa"/>
            <w:vMerge w:val="restart"/>
          </w:tcPr>
          <w:p w:rsidR="00A37ED4" w:rsidRPr="00854F5D" w:rsidRDefault="00A37ED4" w:rsidP="00F943F5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854F5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1.1.Realizarea misiunilor de audit intern planificate </w:t>
            </w:r>
          </w:p>
        </w:tc>
        <w:tc>
          <w:tcPr>
            <w:tcW w:w="2629" w:type="dxa"/>
          </w:tcPr>
          <w:p w:rsidR="00A37ED4" w:rsidRPr="00854F5D" w:rsidRDefault="00A37ED4" w:rsidP="003A0458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854F5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1.1.1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Evaluarea</w:t>
            </w:r>
            <w:r w:rsidRPr="00854F5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3A045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controlului circulației mărfurilor strategice și altor mărfuri restricționate</w:t>
            </w:r>
          </w:p>
        </w:tc>
        <w:tc>
          <w:tcPr>
            <w:tcW w:w="1327" w:type="dxa"/>
          </w:tcPr>
          <w:p w:rsidR="00A37ED4" w:rsidRPr="00854F5D" w:rsidRDefault="00A37ED4" w:rsidP="00D41C2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854F5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Semestrul I</w:t>
            </w:r>
          </w:p>
        </w:tc>
        <w:tc>
          <w:tcPr>
            <w:tcW w:w="2509" w:type="dxa"/>
            <w:vMerge w:val="restart"/>
          </w:tcPr>
          <w:p w:rsidR="00A37ED4" w:rsidRPr="00854F5D" w:rsidRDefault="00A37ED4" w:rsidP="00D41C29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val="ro-RO"/>
              </w:rPr>
            </w:pPr>
            <w:r w:rsidRPr="00854F5D">
              <w:rPr>
                <w:rFonts w:ascii="Times New Roman" w:hAnsi="Times New Roman" w:cs="Times New Roman"/>
                <w:sz w:val="20"/>
                <w:szCs w:val="20"/>
                <w:u w:val="single"/>
                <w:lang w:val="ro-RO"/>
              </w:rPr>
              <w:t>Riscuri interne:</w:t>
            </w:r>
          </w:p>
          <w:p w:rsidR="00A37ED4" w:rsidRPr="00854F5D" w:rsidRDefault="00A37ED4" w:rsidP="00F943F5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854F5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Resurse limitate întru desfășurarea misiunilor de audit intern;                              Evaluarea neobiectivă/superficială a auditorilor interni în cadrul misiunilor de audit;                               Apariția situaților de conflict de interese și nedeclararea/declararea acestora;                               Realizarea în termen extins a celor planificate pentru misiuni.</w:t>
            </w:r>
          </w:p>
          <w:p w:rsidR="00A37ED4" w:rsidRPr="00854F5D" w:rsidRDefault="00A37ED4" w:rsidP="00F943F5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A37ED4" w:rsidRPr="00854F5D" w:rsidRDefault="00A37ED4" w:rsidP="00D41C29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val="ro-RO"/>
              </w:rPr>
            </w:pPr>
            <w:r w:rsidRPr="00854F5D">
              <w:rPr>
                <w:rFonts w:ascii="Times New Roman" w:hAnsi="Times New Roman" w:cs="Times New Roman"/>
                <w:sz w:val="20"/>
                <w:szCs w:val="20"/>
                <w:u w:val="single"/>
                <w:lang w:val="ro-RO"/>
              </w:rPr>
              <w:t>Riscuri externe:</w:t>
            </w:r>
          </w:p>
          <w:p w:rsidR="00A37ED4" w:rsidRPr="00854F5D" w:rsidRDefault="00A37ED4" w:rsidP="00F943F5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854F5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Tergiversarea furnizării informației necesare pentru constatările de audit;                                 Siguranța redusă a probelor de audit selectate ca rezultat al  accesului restricționat la informații;                                Insuficiența persoanelor calificate în domeniul auditului intern;                               Prezentarea tardivă a </w:t>
            </w:r>
            <w:r w:rsidRPr="00854F5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lastRenderedPageBreak/>
              <w:t>reacției de feed-back la proiectele rapoartelor de audit</w:t>
            </w:r>
          </w:p>
        </w:tc>
        <w:tc>
          <w:tcPr>
            <w:tcW w:w="1682" w:type="dxa"/>
          </w:tcPr>
          <w:p w:rsidR="00A37ED4" w:rsidRPr="00854F5D" w:rsidRDefault="00A37ED4" w:rsidP="00363666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854F5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lastRenderedPageBreak/>
              <w:t>Raport prezentat directorului</w:t>
            </w:r>
          </w:p>
          <w:p w:rsidR="00A37ED4" w:rsidRPr="00854F5D" w:rsidRDefault="00A37ED4" w:rsidP="00363666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854F5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Serviciului</w:t>
            </w:r>
          </w:p>
          <w:p w:rsidR="00A37ED4" w:rsidRPr="00854F5D" w:rsidRDefault="00A37ED4" w:rsidP="00363666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854F5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Vamal</w:t>
            </w:r>
          </w:p>
        </w:tc>
        <w:tc>
          <w:tcPr>
            <w:tcW w:w="1551" w:type="dxa"/>
          </w:tcPr>
          <w:p w:rsidR="00A37ED4" w:rsidRPr="00854F5D" w:rsidRDefault="00A37ED4" w:rsidP="00363666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854F5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Ș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ef </w:t>
            </w:r>
            <w:r w:rsidRPr="00854F5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DAI</w:t>
            </w:r>
          </w:p>
          <w:p w:rsidR="00A37ED4" w:rsidRPr="00854F5D" w:rsidRDefault="00A37ED4" w:rsidP="00363666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854F5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Ș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ef adjunct </w:t>
            </w:r>
            <w:r w:rsidRPr="00854F5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DAI</w:t>
            </w:r>
          </w:p>
          <w:p w:rsidR="00A37ED4" w:rsidRPr="00854F5D" w:rsidRDefault="00A37ED4" w:rsidP="00363666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854F5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Șef al echipei de audit</w:t>
            </w:r>
          </w:p>
        </w:tc>
        <w:tc>
          <w:tcPr>
            <w:tcW w:w="2835" w:type="dxa"/>
          </w:tcPr>
          <w:p w:rsidR="00A37ED4" w:rsidRPr="00854F5D" w:rsidRDefault="005C2073" w:rsidP="00D41C29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ro-RO"/>
              </w:rPr>
              <w:t>Realizat</w:t>
            </w:r>
          </w:p>
          <w:p w:rsidR="00A37ED4" w:rsidRPr="00854F5D" w:rsidRDefault="00A37ED4" w:rsidP="00D41C29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854F5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Misiunea de audit a fos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 instituită prin OSV 405</w:t>
            </w:r>
            <w:r w:rsidRPr="00854F5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-O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/2023</w:t>
            </w:r>
            <w:r w:rsidRPr="00854F5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.</w:t>
            </w:r>
          </w:p>
          <w:p w:rsidR="00A37ED4" w:rsidRPr="00854F5D" w:rsidRDefault="00A37ED4" w:rsidP="00D41C29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A045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Raport de audit intern 1333/2024.</w:t>
            </w:r>
          </w:p>
        </w:tc>
      </w:tr>
      <w:tr w:rsidR="00A37ED4" w:rsidRPr="00D17DED" w:rsidTr="00854F5D">
        <w:tc>
          <w:tcPr>
            <w:tcW w:w="1779" w:type="dxa"/>
            <w:vMerge/>
          </w:tcPr>
          <w:p w:rsidR="00A37ED4" w:rsidRPr="00854F5D" w:rsidRDefault="00A37ED4" w:rsidP="00D41C2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2629" w:type="dxa"/>
          </w:tcPr>
          <w:p w:rsidR="00A37ED4" w:rsidRPr="00854F5D" w:rsidRDefault="00A37ED4" w:rsidP="003A0458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854F5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1.1.2 </w:t>
            </w:r>
            <w:r w:rsidRPr="003A045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Evaluarea procesului de gestionare a procedurii contra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venționale aplicate de către </w:t>
            </w:r>
            <w:r w:rsidRPr="003A045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organele vamale</w:t>
            </w:r>
          </w:p>
        </w:tc>
        <w:tc>
          <w:tcPr>
            <w:tcW w:w="1327" w:type="dxa"/>
          </w:tcPr>
          <w:p w:rsidR="00A37ED4" w:rsidRPr="00854F5D" w:rsidRDefault="00A37ED4" w:rsidP="00F943F5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854F5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Semestrul I</w:t>
            </w:r>
          </w:p>
        </w:tc>
        <w:tc>
          <w:tcPr>
            <w:tcW w:w="2509" w:type="dxa"/>
            <w:vMerge/>
          </w:tcPr>
          <w:p w:rsidR="00A37ED4" w:rsidRPr="00854F5D" w:rsidRDefault="00A37ED4" w:rsidP="00D41C2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682" w:type="dxa"/>
          </w:tcPr>
          <w:p w:rsidR="00A37ED4" w:rsidRPr="00854F5D" w:rsidRDefault="00A37ED4" w:rsidP="00363666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854F5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Raport prezentat directorului</w:t>
            </w:r>
          </w:p>
          <w:p w:rsidR="00A37ED4" w:rsidRPr="00854F5D" w:rsidRDefault="00A37ED4" w:rsidP="00363666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854F5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Serviciului</w:t>
            </w:r>
          </w:p>
          <w:p w:rsidR="00A37ED4" w:rsidRPr="00854F5D" w:rsidRDefault="00A37ED4" w:rsidP="00363666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854F5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Vamal</w:t>
            </w:r>
          </w:p>
        </w:tc>
        <w:tc>
          <w:tcPr>
            <w:tcW w:w="1551" w:type="dxa"/>
          </w:tcPr>
          <w:p w:rsidR="00A37ED4" w:rsidRPr="00854F5D" w:rsidRDefault="00A37ED4" w:rsidP="00363666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854F5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Ș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ef </w:t>
            </w:r>
            <w:r w:rsidRPr="00854F5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DAI</w:t>
            </w:r>
          </w:p>
          <w:p w:rsidR="00A37ED4" w:rsidRPr="00854F5D" w:rsidRDefault="00A37ED4" w:rsidP="00363666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854F5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Ș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ef adjunct </w:t>
            </w:r>
            <w:r w:rsidRPr="00854F5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DAI</w:t>
            </w:r>
          </w:p>
          <w:p w:rsidR="00A37ED4" w:rsidRPr="00854F5D" w:rsidRDefault="00A37ED4" w:rsidP="00363666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854F5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Șef al echipei de audit</w:t>
            </w:r>
          </w:p>
        </w:tc>
        <w:tc>
          <w:tcPr>
            <w:tcW w:w="2835" w:type="dxa"/>
          </w:tcPr>
          <w:p w:rsidR="00A37ED4" w:rsidRPr="00854F5D" w:rsidRDefault="005C2073" w:rsidP="00D41C29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ro-RO"/>
              </w:rPr>
              <w:t>Realizat</w:t>
            </w:r>
          </w:p>
          <w:p w:rsidR="00A37ED4" w:rsidRPr="00854F5D" w:rsidRDefault="00A37ED4" w:rsidP="00D41C29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854F5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Misiunea de audit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a fost instituită prin O</w:t>
            </w:r>
            <w:r w:rsidRPr="00854F5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SV 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356</w:t>
            </w:r>
            <w:r w:rsidRPr="00854F5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-O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/2023</w:t>
            </w:r>
            <w:r w:rsidRPr="00854F5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.</w:t>
            </w:r>
          </w:p>
          <w:p w:rsidR="00452A91" w:rsidRDefault="00452A91" w:rsidP="00452A91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52A9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Raport 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de audit intern </w:t>
            </w:r>
          </w:p>
          <w:p w:rsidR="00A37ED4" w:rsidRPr="00854F5D" w:rsidRDefault="00452A91" w:rsidP="00452A91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4763/</w:t>
            </w:r>
            <w:r w:rsidRPr="00452A9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2024</w:t>
            </w:r>
          </w:p>
        </w:tc>
      </w:tr>
      <w:tr w:rsidR="00A37ED4" w:rsidRPr="00F943F5" w:rsidTr="00854F5D">
        <w:tc>
          <w:tcPr>
            <w:tcW w:w="1779" w:type="dxa"/>
            <w:vMerge/>
          </w:tcPr>
          <w:p w:rsidR="00A37ED4" w:rsidRPr="00854F5D" w:rsidRDefault="00A37ED4" w:rsidP="00D41C2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2629" w:type="dxa"/>
          </w:tcPr>
          <w:p w:rsidR="00A37ED4" w:rsidRPr="00854F5D" w:rsidRDefault="00A37ED4" w:rsidP="003A0458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1.1.3</w:t>
            </w:r>
            <w:r w:rsidRPr="003A045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Evaluarea conformității vămuirii mijloacelor de transport cu achitarea accizei în mărime de 30% din cota accizei stabilită pentru anul 2023-2024.</w:t>
            </w:r>
          </w:p>
        </w:tc>
        <w:tc>
          <w:tcPr>
            <w:tcW w:w="1327" w:type="dxa"/>
          </w:tcPr>
          <w:p w:rsidR="00A37ED4" w:rsidRPr="00854F5D" w:rsidRDefault="00A37ED4" w:rsidP="00D41C2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Semestrul I</w:t>
            </w:r>
          </w:p>
        </w:tc>
        <w:tc>
          <w:tcPr>
            <w:tcW w:w="2509" w:type="dxa"/>
            <w:vMerge/>
          </w:tcPr>
          <w:p w:rsidR="00A37ED4" w:rsidRPr="00854F5D" w:rsidRDefault="00A37ED4" w:rsidP="00D41C2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682" w:type="dxa"/>
          </w:tcPr>
          <w:p w:rsidR="00A37ED4" w:rsidRPr="00854F5D" w:rsidRDefault="00A37ED4" w:rsidP="00363666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854F5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Raport prezentat directorului</w:t>
            </w:r>
          </w:p>
          <w:p w:rsidR="00A37ED4" w:rsidRPr="00854F5D" w:rsidRDefault="00A37ED4" w:rsidP="00363666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854F5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Serviciului</w:t>
            </w:r>
          </w:p>
          <w:p w:rsidR="00A37ED4" w:rsidRPr="00854F5D" w:rsidRDefault="00A37ED4" w:rsidP="00363666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854F5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Vamal</w:t>
            </w:r>
          </w:p>
        </w:tc>
        <w:tc>
          <w:tcPr>
            <w:tcW w:w="1551" w:type="dxa"/>
          </w:tcPr>
          <w:p w:rsidR="00A37ED4" w:rsidRPr="00854F5D" w:rsidRDefault="00A37ED4" w:rsidP="00363666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854F5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Ș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ef</w:t>
            </w:r>
            <w:r w:rsidRPr="00854F5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DAI</w:t>
            </w:r>
          </w:p>
          <w:p w:rsidR="00A37ED4" w:rsidRPr="00854F5D" w:rsidRDefault="00A37ED4" w:rsidP="00363666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854F5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Ș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ef adjunct</w:t>
            </w:r>
            <w:r w:rsidRPr="00854F5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DAI</w:t>
            </w:r>
          </w:p>
          <w:p w:rsidR="00A37ED4" w:rsidRPr="00854F5D" w:rsidRDefault="00A37ED4" w:rsidP="00363666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854F5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Șef al echipei de audit</w:t>
            </w:r>
          </w:p>
        </w:tc>
        <w:tc>
          <w:tcPr>
            <w:tcW w:w="2835" w:type="dxa"/>
          </w:tcPr>
          <w:p w:rsidR="00A37ED4" w:rsidRPr="0003155C" w:rsidRDefault="005C2073" w:rsidP="003A0458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ro-RO"/>
              </w:rPr>
              <w:t>Realizat</w:t>
            </w:r>
          </w:p>
          <w:p w:rsidR="00A37ED4" w:rsidRPr="003A0458" w:rsidRDefault="00A37ED4" w:rsidP="003A0458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A045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Misiunea de audit a fost instituită prin OSV 90-O/2024.</w:t>
            </w:r>
          </w:p>
          <w:p w:rsidR="00A37ED4" w:rsidRPr="00854F5D" w:rsidRDefault="00A37ED4" w:rsidP="003A0458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Raport de audit intern 3394</w:t>
            </w:r>
            <w:r w:rsidRPr="003A045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/2024.</w:t>
            </w:r>
          </w:p>
        </w:tc>
      </w:tr>
      <w:tr w:rsidR="00A37ED4" w:rsidRPr="00D17DED" w:rsidTr="00854F5D">
        <w:tc>
          <w:tcPr>
            <w:tcW w:w="1779" w:type="dxa"/>
            <w:vMerge/>
          </w:tcPr>
          <w:p w:rsidR="00A37ED4" w:rsidRPr="00854F5D" w:rsidRDefault="00A37ED4" w:rsidP="00D41C2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2629" w:type="dxa"/>
          </w:tcPr>
          <w:p w:rsidR="00A37ED4" w:rsidRPr="00854F5D" w:rsidRDefault="00A37ED4" w:rsidP="00F943F5">
            <w:pPr>
              <w:tabs>
                <w:tab w:val="left" w:pos="195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1.1.4</w:t>
            </w:r>
            <w:r w:rsidRPr="003A045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Evaluarea activității comisiilor specializate de experți a birourilor vamale.</w:t>
            </w:r>
          </w:p>
        </w:tc>
        <w:tc>
          <w:tcPr>
            <w:tcW w:w="1327" w:type="dxa"/>
          </w:tcPr>
          <w:p w:rsidR="00A37ED4" w:rsidRPr="00854F5D" w:rsidRDefault="00A37ED4" w:rsidP="00D41C2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Semestrul I</w:t>
            </w:r>
          </w:p>
        </w:tc>
        <w:tc>
          <w:tcPr>
            <w:tcW w:w="2509" w:type="dxa"/>
            <w:vMerge/>
          </w:tcPr>
          <w:p w:rsidR="00A37ED4" w:rsidRPr="00854F5D" w:rsidRDefault="00A37ED4" w:rsidP="00D41C2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682" w:type="dxa"/>
          </w:tcPr>
          <w:p w:rsidR="00A37ED4" w:rsidRPr="00854F5D" w:rsidRDefault="00A37ED4" w:rsidP="00363666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854F5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Raport prezentat directorului</w:t>
            </w:r>
          </w:p>
          <w:p w:rsidR="00A37ED4" w:rsidRPr="00854F5D" w:rsidRDefault="00A37ED4" w:rsidP="00363666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854F5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Serviciului</w:t>
            </w:r>
          </w:p>
          <w:p w:rsidR="00A37ED4" w:rsidRPr="00854F5D" w:rsidRDefault="00A37ED4" w:rsidP="00363666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854F5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Vamal</w:t>
            </w:r>
          </w:p>
        </w:tc>
        <w:tc>
          <w:tcPr>
            <w:tcW w:w="1551" w:type="dxa"/>
          </w:tcPr>
          <w:p w:rsidR="00A37ED4" w:rsidRPr="00854F5D" w:rsidRDefault="00A37ED4" w:rsidP="00363666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854F5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Ș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ef</w:t>
            </w:r>
            <w:r w:rsidRPr="00854F5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DAI</w:t>
            </w:r>
          </w:p>
          <w:p w:rsidR="00A37ED4" w:rsidRPr="00854F5D" w:rsidRDefault="00A37ED4" w:rsidP="00363666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854F5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Ș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ef adjunct</w:t>
            </w:r>
            <w:r w:rsidRPr="00854F5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DAI</w:t>
            </w:r>
          </w:p>
          <w:p w:rsidR="00A37ED4" w:rsidRPr="00854F5D" w:rsidRDefault="00A37ED4" w:rsidP="00363666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854F5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Șef al echipei de audit</w:t>
            </w:r>
          </w:p>
        </w:tc>
        <w:tc>
          <w:tcPr>
            <w:tcW w:w="2835" w:type="dxa"/>
          </w:tcPr>
          <w:p w:rsidR="00A37ED4" w:rsidRPr="0003155C" w:rsidRDefault="005C2073" w:rsidP="003A0458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ro-RO"/>
              </w:rPr>
              <w:t>Realizat</w:t>
            </w:r>
          </w:p>
          <w:p w:rsidR="00A37ED4" w:rsidRDefault="00A37ED4" w:rsidP="003A0458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A045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Misiunea de audit a fost instituită prin OSV 210-O/2024.</w:t>
            </w:r>
          </w:p>
          <w:p w:rsidR="0054647A" w:rsidRPr="00854F5D" w:rsidRDefault="0054647A" w:rsidP="003A0458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4647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Notă-raport nr.6101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/2024</w:t>
            </w:r>
          </w:p>
        </w:tc>
      </w:tr>
      <w:tr w:rsidR="00A37ED4" w:rsidRPr="004C7572" w:rsidTr="00854F5D">
        <w:tc>
          <w:tcPr>
            <w:tcW w:w="1779" w:type="dxa"/>
            <w:vMerge/>
          </w:tcPr>
          <w:p w:rsidR="00A37ED4" w:rsidRPr="00854F5D" w:rsidRDefault="00A37ED4" w:rsidP="00D41C2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2629" w:type="dxa"/>
          </w:tcPr>
          <w:p w:rsidR="00A37ED4" w:rsidRDefault="00A37ED4" w:rsidP="00F943F5">
            <w:pPr>
              <w:tabs>
                <w:tab w:val="left" w:pos="195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1.1.5 </w:t>
            </w:r>
            <w:r w:rsidRPr="00D17DE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Evaluarea activității posturilor vamale interne de control (PVIC)</w:t>
            </w:r>
          </w:p>
        </w:tc>
        <w:tc>
          <w:tcPr>
            <w:tcW w:w="1327" w:type="dxa"/>
          </w:tcPr>
          <w:p w:rsidR="00A37ED4" w:rsidRDefault="00A37ED4" w:rsidP="00D17DED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17DE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Semestrul I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</w:t>
            </w:r>
          </w:p>
        </w:tc>
        <w:tc>
          <w:tcPr>
            <w:tcW w:w="2509" w:type="dxa"/>
            <w:vMerge/>
          </w:tcPr>
          <w:p w:rsidR="00A37ED4" w:rsidRPr="00854F5D" w:rsidRDefault="00A37ED4" w:rsidP="00D41C2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682" w:type="dxa"/>
          </w:tcPr>
          <w:p w:rsidR="00A37ED4" w:rsidRPr="00A37ED4" w:rsidRDefault="00A37ED4" w:rsidP="00A37ED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37ED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Raport prezentat directorului</w:t>
            </w:r>
          </w:p>
          <w:p w:rsidR="00A37ED4" w:rsidRPr="00A37ED4" w:rsidRDefault="00A37ED4" w:rsidP="00A37ED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37ED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Serviciului</w:t>
            </w:r>
          </w:p>
          <w:p w:rsidR="00A37ED4" w:rsidRPr="00854F5D" w:rsidRDefault="00A37ED4" w:rsidP="00A37ED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37ED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Vamal</w:t>
            </w:r>
          </w:p>
        </w:tc>
        <w:tc>
          <w:tcPr>
            <w:tcW w:w="1551" w:type="dxa"/>
          </w:tcPr>
          <w:p w:rsidR="00A37ED4" w:rsidRPr="00A37ED4" w:rsidRDefault="00A37ED4" w:rsidP="00A37ED4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37ED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Șef DAI</w:t>
            </w:r>
          </w:p>
          <w:p w:rsidR="00A37ED4" w:rsidRPr="00A37ED4" w:rsidRDefault="00A37ED4" w:rsidP="00A37ED4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37ED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Șef adjunct DAI</w:t>
            </w:r>
          </w:p>
          <w:p w:rsidR="00A37ED4" w:rsidRPr="00854F5D" w:rsidRDefault="00A37ED4" w:rsidP="00A37ED4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37ED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Șef al echipei de audit</w:t>
            </w:r>
          </w:p>
        </w:tc>
        <w:tc>
          <w:tcPr>
            <w:tcW w:w="2835" w:type="dxa"/>
          </w:tcPr>
          <w:p w:rsidR="00A37ED4" w:rsidRPr="00A37ED4" w:rsidRDefault="00050D4B" w:rsidP="00A37ED4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ro-RO"/>
              </w:rPr>
              <w:t>Activitate realizată – 7</w:t>
            </w:r>
            <w:r w:rsidR="00A37ED4" w:rsidRPr="00A37ED4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ro-RO"/>
              </w:rPr>
              <w:t>5 %</w:t>
            </w:r>
          </w:p>
          <w:p w:rsidR="00A37ED4" w:rsidRPr="00A37ED4" w:rsidRDefault="00A37ED4" w:rsidP="00050D4B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37ED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Misiunea de audi</w:t>
            </w:r>
            <w:r w:rsidR="00050D4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t a fost instituită prin OSV </w:t>
            </w:r>
            <w:r w:rsidR="00050D4B" w:rsidRPr="00050D4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368-O</w:t>
            </w:r>
            <w:r w:rsidR="00050D4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/</w:t>
            </w:r>
            <w:r w:rsidRPr="00A37ED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2024.</w:t>
            </w:r>
          </w:p>
        </w:tc>
      </w:tr>
      <w:tr w:rsidR="00A37ED4" w:rsidRPr="004C7572" w:rsidTr="00854F5D">
        <w:tc>
          <w:tcPr>
            <w:tcW w:w="1779" w:type="dxa"/>
            <w:vMerge/>
          </w:tcPr>
          <w:p w:rsidR="00A37ED4" w:rsidRPr="00854F5D" w:rsidRDefault="00A37ED4" w:rsidP="00D41C2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2629" w:type="dxa"/>
          </w:tcPr>
          <w:p w:rsidR="00A37ED4" w:rsidRPr="00D17DED" w:rsidRDefault="00A37ED4" w:rsidP="00D17DED">
            <w:pPr>
              <w:tabs>
                <w:tab w:val="left" w:pos="195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1.1.6</w:t>
            </w:r>
            <w:r w:rsidRPr="00D17DE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Evaluarea activității Centrului chinologic al </w:t>
            </w:r>
          </w:p>
          <w:p w:rsidR="00A37ED4" w:rsidRDefault="00A37ED4" w:rsidP="00D17DED">
            <w:pPr>
              <w:tabs>
                <w:tab w:val="left" w:pos="195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17DE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Serviciului Vamal.</w:t>
            </w:r>
          </w:p>
        </w:tc>
        <w:tc>
          <w:tcPr>
            <w:tcW w:w="1327" w:type="dxa"/>
          </w:tcPr>
          <w:p w:rsidR="00A37ED4" w:rsidRDefault="00A37ED4" w:rsidP="00D17DED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17DE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Semestrul I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</w:t>
            </w:r>
          </w:p>
        </w:tc>
        <w:tc>
          <w:tcPr>
            <w:tcW w:w="2509" w:type="dxa"/>
            <w:vMerge/>
          </w:tcPr>
          <w:p w:rsidR="00A37ED4" w:rsidRPr="00854F5D" w:rsidRDefault="00A37ED4" w:rsidP="00D41C2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682" w:type="dxa"/>
          </w:tcPr>
          <w:p w:rsidR="00A37ED4" w:rsidRPr="00A37ED4" w:rsidRDefault="00A37ED4" w:rsidP="00A37ED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37ED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Raport prezentat directorului</w:t>
            </w:r>
          </w:p>
          <w:p w:rsidR="00A37ED4" w:rsidRPr="00A37ED4" w:rsidRDefault="00A37ED4" w:rsidP="00A37ED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37ED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Serviciului</w:t>
            </w:r>
          </w:p>
          <w:p w:rsidR="00A37ED4" w:rsidRPr="00854F5D" w:rsidRDefault="00A37ED4" w:rsidP="00A37ED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37ED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Vamal</w:t>
            </w:r>
          </w:p>
        </w:tc>
        <w:tc>
          <w:tcPr>
            <w:tcW w:w="1551" w:type="dxa"/>
          </w:tcPr>
          <w:p w:rsidR="00A37ED4" w:rsidRPr="00A37ED4" w:rsidRDefault="00A37ED4" w:rsidP="00A37ED4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37ED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Șef DAI</w:t>
            </w:r>
          </w:p>
          <w:p w:rsidR="00A37ED4" w:rsidRPr="00A37ED4" w:rsidRDefault="00A37ED4" w:rsidP="00A37ED4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37ED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Șef adjunct DAI</w:t>
            </w:r>
          </w:p>
          <w:p w:rsidR="00A37ED4" w:rsidRPr="00854F5D" w:rsidRDefault="00A37ED4" w:rsidP="00A37ED4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37ED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Șef al echipei de audit</w:t>
            </w:r>
          </w:p>
        </w:tc>
        <w:tc>
          <w:tcPr>
            <w:tcW w:w="2835" w:type="dxa"/>
          </w:tcPr>
          <w:p w:rsidR="00A37ED4" w:rsidRPr="00A37ED4" w:rsidRDefault="005C2073" w:rsidP="00A37ED4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ro-RO"/>
              </w:rPr>
              <w:t>Activitate realizată – 2</w:t>
            </w:r>
            <w:r w:rsidR="00A37ED4" w:rsidRPr="00A37ED4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ro-RO"/>
              </w:rPr>
              <w:t>5 %</w:t>
            </w:r>
          </w:p>
          <w:p w:rsidR="00A37ED4" w:rsidRPr="00A37ED4" w:rsidRDefault="00A37ED4" w:rsidP="00A37ED4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37ED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Misiunea de audi</w:t>
            </w:r>
            <w:r w:rsidR="00050D4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 a fost instituită prin OSV 454</w:t>
            </w:r>
            <w:r w:rsidRPr="00A37ED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-O/2024.</w:t>
            </w:r>
          </w:p>
        </w:tc>
      </w:tr>
      <w:tr w:rsidR="002E3DD5" w:rsidRPr="004C7572" w:rsidTr="00854F5D">
        <w:tc>
          <w:tcPr>
            <w:tcW w:w="1779" w:type="dxa"/>
          </w:tcPr>
          <w:p w:rsidR="00F943F5" w:rsidRPr="00854F5D" w:rsidRDefault="00F943F5" w:rsidP="00F943F5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854F5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lastRenderedPageBreak/>
              <w:t xml:space="preserve">1.2 Desfășurarea misiunilor de audit intern neplanificate </w:t>
            </w:r>
          </w:p>
          <w:p w:rsidR="002E3DD5" w:rsidRPr="00854F5D" w:rsidRDefault="00F943F5" w:rsidP="00F943F5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854F5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(ad-hoc/de consiliere)</w:t>
            </w:r>
          </w:p>
        </w:tc>
        <w:tc>
          <w:tcPr>
            <w:tcW w:w="2629" w:type="dxa"/>
          </w:tcPr>
          <w:p w:rsidR="00F943F5" w:rsidRPr="00854F5D" w:rsidRDefault="00F943F5" w:rsidP="00F943F5">
            <w:pPr>
              <w:tabs>
                <w:tab w:val="left" w:pos="65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854F5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1.2.1 Efectuarea misiunilor de audit intern neplanificate </w:t>
            </w:r>
          </w:p>
          <w:p w:rsidR="002E3DD5" w:rsidRPr="00854F5D" w:rsidRDefault="00F943F5" w:rsidP="00F943F5">
            <w:pPr>
              <w:tabs>
                <w:tab w:val="left" w:pos="65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854F5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(ad-hoc/de consiliere) în limita resurselor disponibile</w:t>
            </w:r>
          </w:p>
        </w:tc>
        <w:tc>
          <w:tcPr>
            <w:tcW w:w="1327" w:type="dxa"/>
          </w:tcPr>
          <w:p w:rsidR="002E3DD5" w:rsidRPr="00854F5D" w:rsidRDefault="003A0458" w:rsidP="003A0458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A045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continuu</w:t>
            </w:r>
          </w:p>
        </w:tc>
        <w:tc>
          <w:tcPr>
            <w:tcW w:w="2509" w:type="dxa"/>
            <w:vMerge/>
          </w:tcPr>
          <w:p w:rsidR="002E3DD5" w:rsidRPr="00854F5D" w:rsidRDefault="002E3DD5" w:rsidP="00D41C2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682" w:type="dxa"/>
          </w:tcPr>
          <w:p w:rsidR="00050D4B" w:rsidRDefault="00050D4B" w:rsidP="00363666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Raport sau</w:t>
            </w:r>
          </w:p>
          <w:p w:rsidR="00363666" w:rsidRPr="00854F5D" w:rsidRDefault="00363666" w:rsidP="00363666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854F5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Notă</w:t>
            </w:r>
            <w:r w:rsidR="00050D4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-raport</w:t>
            </w:r>
          </w:p>
          <w:p w:rsidR="00363666" w:rsidRPr="00854F5D" w:rsidRDefault="00363666" w:rsidP="00363666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854F5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prezentat/ă directorului</w:t>
            </w:r>
          </w:p>
          <w:p w:rsidR="00363666" w:rsidRPr="00854F5D" w:rsidRDefault="00363666" w:rsidP="00363666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854F5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Serviciului</w:t>
            </w:r>
          </w:p>
          <w:p w:rsidR="002E3DD5" w:rsidRPr="00854F5D" w:rsidRDefault="00363666" w:rsidP="00363666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854F5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Vamal</w:t>
            </w:r>
          </w:p>
        </w:tc>
        <w:tc>
          <w:tcPr>
            <w:tcW w:w="1551" w:type="dxa"/>
          </w:tcPr>
          <w:p w:rsidR="00363666" w:rsidRPr="00854F5D" w:rsidRDefault="00363666" w:rsidP="00363666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854F5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Ș</w:t>
            </w:r>
            <w:r w:rsidR="00854F5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ef</w:t>
            </w:r>
            <w:r w:rsidRPr="00854F5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DAI</w:t>
            </w:r>
          </w:p>
          <w:p w:rsidR="00363666" w:rsidRPr="00854F5D" w:rsidRDefault="00363666" w:rsidP="00363666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854F5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Ș</w:t>
            </w:r>
            <w:r w:rsidR="00854F5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ef adjunct </w:t>
            </w:r>
            <w:r w:rsidRPr="00854F5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DAI</w:t>
            </w:r>
          </w:p>
          <w:p w:rsidR="002E3DD5" w:rsidRPr="00854F5D" w:rsidRDefault="00363666" w:rsidP="00363666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854F5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Șef al echipei de audit</w:t>
            </w:r>
          </w:p>
        </w:tc>
        <w:tc>
          <w:tcPr>
            <w:tcW w:w="2835" w:type="dxa"/>
          </w:tcPr>
          <w:p w:rsidR="005C2073" w:rsidRDefault="005C2073" w:rsidP="003A0458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ro-RO"/>
              </w:rPr>
              <w:t>Realizat</w:t>
            </w:r>
          </w:p>
          <w:p w:rsidR="002E3DD5" w:rsidRPr="005C2073" w:rsidRDefault="00A37ED4" w:rsidP="003A0458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1.2.1 </w:t>
            </w:r>
            <w:r w:rsidR="003A0458" w:rsidRPr="003A045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Evaluarea nivelului de raportare de către funcționarii vamali a rezultatelor deplasărilor de s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erviciu peste hotarele țării;</w:t>
            </w:r>
          </w:p>
          <w:p w:rsidR="00A37ED4" w:rsidRDefault="00A37ED4" w:rsidP="003A0458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1.2.2 </w:t>
            </w:r>
            <w:r w:rsidR="00050D4B" w:rsidRPr="00050D4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Evaluarea procesului de vămuire a mijloacelor de transport auto cu achitarea accizei suplimentare aferent automobilelor de lux.</w:t>
            </w:r>
          </w:p>
          <w:p w:rsidR="00A37ED4" w:rsidRPr="003A0458" w:rsidRDefault="00A37ED4" w:rsidP="003A0458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1.2.3</w:t>
            </w:r>
            <w:r w:rsidR="00050D4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="00050D4B" w:rsidRPr="00050D4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Evaluarea activității secției/serviciului analiza riscurilor din cadrul birourilor vamale.</w:t>
            </w:r>
          </w:p>
        </w:tc>
      </w:tr>
      <w:tr w:rsidR="002E3DD5" w:rsidRPr="004C7572" w:rsidTr="0061233F">
        <w:tc>
          <w:tcPr>
            <w:tcW w:w="14312" w:type="dxa"/>
            <w:gridSpan w:val="7"/>
          </w:tcPr>
          <w:p w:rsidR="002E3DD5" w:rsidRPr="00B70E29" w:rsidRDefault="00854F5D" w:rsidP="00A72299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854F5D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o-RO"/>
              </w:rPr>
              <w:lastRenderedPageBreak/>
              <w:t>Obiectivul nr.2 Eficientizarea activității Serviciului Vamal prin asigurarea urmăririi implementării a min 90 % recomandări de audit intern și extern.</w:t>
            </w:r>
          </w:p>
        </w:tc>
      </w:tr>
      <w:tr w:rsidR="00CB08C4" w:rsidRPr="00D17DED" w:rsidTr="00854F5D">
        <w:tc>
          <w:tcPr>
            <w:tcW w:w="1779" w:type="dxa"/>
            <w:vMerge w:val="restart"/>
          </w:tcPr>
          <w:p w:rsidR="00CB08C4" w:rsidRPr="00CB08C4" w:rsidRDefault="00CB08C4" w:rsidP="00D41C29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CB08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2.1. Desfășurarea activităților de urmărire a implementării recomandărilor.</w:t>
            </w:r>
          </w:p>
        </w:tc>
        <w:tc>
          <w:tcPr>
            <w:tcW w:w="2629" w:type="dxa"/>
          </w:tcPr>
          <w:p w:rsidR="00CB08C4" w:rsidRPr="00CB08C4" w:rsidRDefault="00CB08C4" w:rsidP="00D41C2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CB08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2.1.1. Elaborarea planurilor de acțiuni pentru implementarea recomandărilor de audit intern formulate în cazul misiunilor de audit intern desfășurate.</w:t>
            </w:r>
          </w:p>
        </w:tc>
        <w:tc>
          <w:tcPr>
            <w:tcW w:w="1327" w:type="dxa"/>
          </w:tcPr>
          <w:p w:rsidR="00CB08C4" w:rsidRPr="00CB08C4" w:rsidRDefault="00CB08C4" w:rsidP="00D41C2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CB08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continuu</w:t>
            </w:r>
          </w:p>
        </w:tc>
        <w:tc>
          <w:tcPr>
            <w:tcW w:w="2509" w:type="dxa"/>
            <w:vMerge w:val="restart"/>
          </w:tcPr>
          <w:p w:rsidR="00CB08C4" w:rsidRDefault="00CB08C4" w:rsidP="00CB08C4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CB08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r w:rsidRPr="00CB08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o-RO"/>
              </w:rPr>
              <w:t>Riscuri interne:</w:t>
            </w:r>
            <w:r w:rsidRPr="00CB08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</w:t>
            </w:r>
          </w:p>
          <w:p w:rsidR="00CB08C4" w:rsidRDefault="00CB08C4" w:rsidP="00CB08C4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CB08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Executarea neconformă sau tardivă a deciziilor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aprobate de directorul SV                   </w:t>
            </w:r>
            <w:r w:rsidRPr="00CB08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referitor la recomandările de audit intern sau extern.</w:t>
            </w:r>
          </w:p>
          <w:p w:rsidR="00CB08C4" w:rsidRPr="00CB08C4" w:rsidRDefault="00CB08C4" w:rsidP="00CB08C4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CB08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</w:t>
            </w:r>
          </w:p>
          <w:p w:rsidR="00CB08C4" w:rsidRDefault="00CB08C4" w:rsidP="00CB08C4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CB08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o-RO"/>
              </w:rPr>
              <w:t>Riscuri externe</w:t>
            </w:r>
            <w:r w:rsidRPr="00CB08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:</w:t>
            </w:r>
          </w:p>
          <w:p w:rsidR="00CB08C4" w:rsidRPr="00CB08C4" w:rsidRDefault="00CB08C4" w:rsidP="00CB08C4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CB08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Lipsa resurselor financiare, tehnice sau umane pentru implem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entarea recomandărilor de audit</w:t>
            </w:r>
            <w:r w:rsidRPr="00CB08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                               Apariția calamităților naturale sau stării de urgență cu impact asupra 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ctivității unităților auditate.</w:t>
            </w:r>
            <w:r w:rsidRPr="00CB08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            Raportarea superficială întru confirmarea executării recomandărilor de audit.</w:t>
            </w:r>
          </w:p>
        </w:tc>
        <w:tc>
          <w:tcPr>
            <w:tcW w:w="1682" w:type="dxa"/>
          </w:tcPr>
          <w:p w:rsidR="00CB08C4" w:rsidRPr="00CB08C4" w:rsidRDefault="00CB08C4" w:rsidP="00CB08C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CB08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Planuri de acțiuni aprobate</w:t>
            </w:r>
          </w:p>
          <w:p w:rsidR="00CB08C4" w:rsidRPr="00CB08C4" w:rsidRDefault="00CB08C4" w:rsidP="00CB08C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CB08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(100 %)</w:t>
            </w:r>
          </w:p>
        </w:tc>
        <w:tc>
          <w:tcPr>
            <w:tcW w:w="1551" w:type="dxa"/>
          </w:tcPr>
          <w:p w:rsidR="00CB08C4" w:rsidRPr="00CB08C4" w:rsidRDefault="00CB08C4" w:rsidP="00CB08C4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CB08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Șef DAI</w:t>
            </w:r>
          </w:p>
          <w:p w:rsidR="00CB08C4" w:rsidRPr="00CB08C4" w:rsidRDefault="00CB08C4" w:rsidP="00CB08C4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CB08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Șef adjunct DAI</w:t>
            </w:r>
          </w:p>
          <w:p w:rsidR="00CB08C4" w:rsidRPr="00CB08C4" w:rsidRDefault="00CB08C4" w:rsidP="00CB08C4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o-RO"/>
              </w:rPr>
            </w:pPr>
            <w:r w:rsidRPr="00CB08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Șef al echipei de audit</w:t>
            </w:r>
          </w:p>
        </w:tc>
        <w:tc>
          <w:tcPr>
            <w:tcW w:w="2835" w:type="dxa"/>
          </w:tcPr>
          <w:p w:rsidR="0089147E" w:rsidRDefault="005C2073" w:rsidP="004169AF">
            <w:pPr>
              <w:pStyle w:val="a4"/>
              <w:tabs>
                <w:tab w:val="left" w:pos="209"/>
                <w:tab w:val="left" w:pos="991"/>
              </w:tabs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ro-RO"/>
              </w:rPr>
              <w:t>Realizat</w:t>
            </w:r>
          </w:p>
          <w:p w:rsidR="004169AF" w:rsidRPr="00A817DF" w:rsidRDefault="0089147E" w:rsidP="00A817DF">
            <w:pPr>
              <w:pStyle w:val="a4"/>
              <w:numPr>
                <w:ilvl w:val="0"/>
                <w:numId w:val="6"/>
              </w:numPr>
              <w:tabs>
                <w:tab w:val="left" w:pos="209"/>
                <w:tab w:val="left" w:pos="99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817D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Plan de acțiuni aprobat </w:t>
            </w:r>
          </w:p>
          <w:p w:rsidR="0089147E" w:rsidRPr="00A817DF" w:rsidRDefault="0089147E" w:rsidP="0089147E">
            <w:pPr>
              <w:tabs>
                <w:tab w:val="left" w:pos="209"/>
                <w:tab w:val="left" w:pos="99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817D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prin O</w:t>
            </w:r>
            <w:r w:rsidR="004169AF" w:rsidRPr="00A817D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SV 22</w:t>
            </w:r>
            <w:r w:rsidRPr="00A817D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-O/2024.</w:t>
            </w:r>
          </w:p>
          <w:p w:rsidR="004169AF" w:rsidRPr="00A817DF" w:rsidRDefault="0089147E" w:rsidP="00A817DF">
            <w:pPr>
              <w:pStyle w:val="a4"/>
              <w:numPr>
                <w:ilvl w:val="0"/>
                <w:numId w:val="6"/>
              </w:numPr>
              <w:tabs>
                <w:tab w:val="left" w:pos="209"/>
                <w:tab w:val="left" w:pos="99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817D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Plan de acțiuni aprobat </w:t>
            </w:r>
          </w:p>
          <w:p w:rsidR="0089147E" w:rsidRPr="00A817DF" w:rsidRDefault="0089147E" w:rsidP="0089147E">
            <w:pPr>
              <w:tabs>
                <w:tab w:val="left" w:pos="209"/>
                <w:tab w:val="left" w:pos="99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817D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prin O</w:t>
            </w:r>
            <w:r w:rsidR="004169AF" w:rsidRPr="00A817D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SV 60</w:t>
            </w:r>
            <w:r w:rsidRPr="00A817D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-O/2024. </w:t>
            </w:r>
          </w:p>
          <w:p w:rsidR="004169AF" w:rsidRPr="00A817DF" w:rsidRDefault="0089147E" w:rsidP="00A817DF">
            <w:pPr>
              <w:pStyle w:val="a4"/>
              <w:numPr>
                <w:ilvl w:val="0"/>
                <w:numId w:val="6"/>
              </w:numPr>
              <w:tabs>
                <w:tab w:val="left" w:pos="209"/>
                <w:tab w:val="left" w:pos="99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817D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Plan de acțiuni aprobat </w:t>
            </w:r>
          </w:p>
          <w:p w:rsidR="0089147E" w:rsidRPr="00A817DF" w:rsidRDefault="0089147E" w:rsidP="0089147E">
            <w:pPr>
              <w:tabs>
                <w:tab w:val="left" w:pos="209"/>
                <w:tab w:val="left" w:pos="99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817D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prin OSV 150-O/2024.</w:t>
            </w:r>
          </w:p>
          <w:p w:rsidR="004169AF" w:rsidRPr="00A817DF" w:rsidRDefault="004169AF" w:rsidP="00A817DF">
            <w:pPr>
              <w:pStyle w:val="a4"/>
              <w:numPr>
                <w:ilvl w:val="0"/>
                <w:numId w:val="6"/>
              </w:numPr>
              <w:tabs>
                <w:tab w:val="left" w:pos="209"/>
                <w:tab w:val="left" w:pos="99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817D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Plan de acțiuni aprobat </w:t>
            </w:r>
          </w:p>
          <w:p w:rsidR="004169AF" w:rsidRPr="00A817DF" w:rsidRDefault="004169AF" w:rsidP="004169AF">
            <w:pPr>
              <w:tabs>
                <w:tab w:val="left" w:pos="209"/>
                <w:tab w:val="left" w:pos="99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817D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prin OSV 306-O/2024.</w:t>
            </w:r>
          </w:p>
          <w:p w:rsidR="004169AF" w:rsidRPr="00A817DF" w:rsidRDefault="004169AF" w:rsidP="00A817DF">
            <w:pPr>
              <w:pStyle w:val="a4"/>
              <w:numPr>
                <w:ilvl w:val="0"/>
                <w:numId w:val="6"/>
              </w:numPr>
              <w:tabs>
                <w:tab w:val="left" w:pos="209"/>
                <w:tab w:val="left" w:pos="99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817D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Plan de acțiuni aprobat </w:t>
            </w:r>
          </w:p>
          <w:p w:rsidR="004169AF" w:rsidRPr="00A817DF" w:rsidRDefault="004169AF" w:rsidP="004169AF">
            <w:pPr>
              <w:tabs>
                <w:tab w:val="left" w:pos="209"/>
                <w:tab w:val="left" w:pos="99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817D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prin OSV 385-O/2024.</w:t>
            </w:r>
          </w:p>
          <w:p w:rsidR="004169AF" w:rsidRPr="00A817DF" w:rsidRDefault="004169AF" w:rsidP="00A817DF">
            <w:pPr>
              <w:pStyle w:val="a4"/>
              <w:numPr>
                <w:ilvl w:val="0"/>
                <w:numId w:val="6"/>
              </w:numPr>
              <w:tabs>
                <w:tab w:val="left" w:pos="209"/>
                <w:tab w:val="left" w:pos="99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817D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Plan de acțiuni aprobat </w:t>
            </w:r>
          </w:p>
          <w:p w:rsidR="004169AF" w:rsidRPr="004169AF" w:rsidRDefault="004169AF" w:rsidP="004169AF">
            <w:pPr>
              <w:tabs>
                <w:tab w:val="left" w:pos="209"/>
                <w:tab w:val="left" w:pos="99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817D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prin OSV 452-O/2024.</w:t>
            </w:r>
          </w:p>
        </w:tc>
      </w:tr>
      <w:tr w:rsidR="00CB08C4" w:rsidRPr="00D17DED" w:rsidTr="00854F5D">
        <w:tc>
          <w:tcPr>
            <w:tcW w:w="1779" w:type="dxa"/>
            <w:vMerge/>
          </w:tcPr>
          <w:p w:rsidR="00CB08C4" w:rsidRPr="00CB08C4" w:rsidRDefault="00CB08C4" w:rsidP="00D41C2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2629" w:type="dxa"/>
          </w:tcPr>
          <w:p w:rsidR="00CB08C4" w:rsidRPr="00CB08C4" w:rsidRDefault="00CB08C4" w:rsidP="00D41C29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B08C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2.1.2. Sistematizarea informației privind stadiul implementării recomandărilor de audit și raportarea rezultatelor.</w:t>
            </w:r>
          </w:p>
        </w:tc>
        <w:tc>
          <w:tcPr>
            <w:tcW w:w="1327" w:type="dxa"/>
          </w:tcPr>
          <w:p w:rsidR="00CB08C4" w:rsidRPr="00CB08C4" w:rsidRDefault="00CB08C4" w:rsidP="00CB08C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B08C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Semestrul I</w:t>
            </w:r>
          </w:p>
          <w:p w:rsidR="00CB08C4" w:rsidRPr="00CB08C4" w:rsidRDefault="00CB08C4" w:rsidP="00CB08C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CB08C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Semestrul II</w:t>
            </w:r>
          </w:p>
        </w:tc>
        <w:tc>
          <w:tcPr>
            <w:tcW w:w="2509" w:type="dxa"/>
            <w:vMerge/>
          </w:tcPr>
          <w:p w:rsidR="00CB08C4" w:rsidRPr="00CB08C4" w:rsidRDefault="00CB08C4" w:rsidP="00D41C2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682" w:type="dxa"/>
          </w:tcPr>
          <w:p w:rsidR="00CB08C4" w:rsidRPr="00CB08C4" w:rsidRDefault="00CB08C4" w:rsidP="00CB08C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B08C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Raport/Notă</w:t>
            </w:r>
          </w:p>
          <w:p w:rsidR="00CB08C4" w:rsidRPr="00CB08C4" w:rsidRDefault="00CB08C4" w:rsidP="00CB08C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B08C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prezentat/ă</w:t>
            </w:r>
          </w:p>
        </w:tc>
        <w:tc>
          <w:tcPr>
            <w:tcW w:w="1551" w:type="dxa"/>
          </w:tcPr>
          <w:p w:rsidR="00CB08C4" w:rsidRPr="00CB08C4" w:rsidRDefault="00CB08C4" w:rsidP="00CB08C4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B08C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Ș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ef </w:t>
            </w:r>
            <w:r w:rsidRPr="00CB08C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DAI</w:t>
            </w:r>
          </w:p>
          <w:p w:rsidR="00CB08C4" w:rsidRPr="00CB08C4" w:rsidRDefault="00CB08C4" w:rsidP="00CB08C4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B08C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Ș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ef adjunct</w:t>
            </w:r>
            <w:r w:rsidRPr="00CB08C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DAI</w:t>
            </w:r>
          </w:p>
          <w:p w:rsidR="00CB08C4" w:rsidRPr="00CB08C4" w:rsidRDefault="00CB08C4" w:rsidP="00CB08C4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CB08C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Auditorii interni din cadrul DAI</w:t>
            </w:r>
          </w:p>
        </w:tc>
        <w:tc>
          <w:tcPr>
            <w:tcW w:w="2835" w:type="dxa"/>
          </w:tcPr>
          <w:p w:rsidR="0003155C" w:rsidRDefault="005C2073" w:rsidP="00D41C29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ro-RO"/>
              </w:rPr>
              <w:t>Realizat</w:t>
            </w:r>
          </w:p>
          <w:p w:rsidR="0003155C" w:rsidRPr="00A817DF" w:rsidRDefault="00A817DF" w:rsidP="0003155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="0003155C" w:rsidRPr="00A817D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 Raport 621/2024</w:t>
            </w:r>
            <w:r w:rsidRPr="00A817D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</w:p>
          <w:p w:rsidR="0003155C" w:rsidRPr="00A817DF" w:rsidRDefault="00A817DF" w:rsidP="0003155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="0003155C" w:rsidRPr="00A817D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Raport 132</w:t>
            </w:r>
            <w:r w:rsidR="0003155C" w:rsidRPr="00A817D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1/2024</w:t>
            </w:r>
            <w:r w:rsidRPr="00A817D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</w:p>
          <w:p w:rsidR="0003155C" w:rsidRDefault="00A817DF" w:rsidP="0003155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="0003155C" w:rsidRPr="00A817D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Raport 137</w:t>
            </w:r>
            <w:r w:rsidR="0003155C" w:rsidRPr="00A817D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1/2024</w:t>
            </w:r>
            <w:r w:rsidRPr="00A817D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</w:p>
          <w:p w:rsidR="00A817DF" w:rsidRDefault="00A817DF" w:rsidP="0003155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- Raport </w:t>
            </w:r>
            <w:r w:rsidR="005128F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4801/2024</w:t>
            </w:r>
          </w:p>
          <w:p w:rsidR="00CB08C4" w:rsidRPr="005128F8" w:rsidRDefault="005128F8" w:rsidP="005128F8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- Notă informativă 6549/2024</w:t>
            </w:r>
          </w:p>
        </w:tc>
      </w:tr>
      <w:tr w:rsidR="00CB08C4" w:rsidRPr="002144BD" w:rsidTr="00854F5D">
        <w:tc>
          <w:tcPr>
            <w:tcW w:w="1779" w:type="dxa"/>
            <w:vMerge/>
          </w:tcPr>
          <w:p w:rsidR="00CB08C4" w:rsidRPr="00CB08C4" w:rsidRDefault="00CB08C4" w:rsidP="00D41C2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2629" w:type="dxa"/>
          </w:tcPr>
          <w:p w:rsidR="00CB08C4" w:rsidRPr="00CB08C4" w:rsidRDefault="00CB08C4" w:rsidP="00D41C29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B08C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2.1.3. Urmărirea implementării recomandărilor de audit extern.</w:t>
            </w:r>
          </w:p>
        </w:tc>
        <w:tc>
          <w:tcPr>
            <w:tcW w:w="1327" w:type="dxa"/>
          </w:tcPr>
          <w:p w:rsidR="00CB08C4" w:rsidRPr="00CB08C4" w:rsidRDefault="00CB08C4" w:rsidP="00D41C2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B08C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Semestrul II</w:t>
            </w:r>
          </w:p>
        </w:tc>
        <w:tc>
          <w:tcPr>
            <w:tcW w:w="2509" w:type="dxa"/>
            <w:vMerge/>
          </w:tcPr>
          <w:p w:rsidR="00CB08C4" w:rsidRPr="00CB08C4" w:rsidRDefault="00CB08C4" w:rsidP="00D41C2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682" w:type="dxa"/>
          </w:tcPr>
          <w:p w:rsidR="00CB08C4" w:rsidRPr="00CB08C4" w:rsidRDefault="00CB08C4" w:rsidP="00D41C2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B08C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Planuri de acțiuni/Note informative prezentate MF.</w:t>
            </w:r>
          </w:p>
        </w:tc>
        <w:tc>
          <w:tcPr>
            <w:tcW w:w="1551" w:type="dxa"/>
          </w:tcPr>
          <w:p w:rsidR="00CB08C4" w:rsidRPr="00CB08C4" w:rsidRDefault="00CB08C4" w:rsidP="00CB08C4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B08C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Ș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ef</w:t>
            </w:r>
            <w:r w:rsidRPr="00CB08C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DAI</w:t>
            </w:r>
          </w:p>
          <w:p w:rsidR="00CB08C4" w:rsidRPr="00CB08C4" w:rsidRDefault="00CB08C4" w:rsidP="00CB08C4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B08C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Ș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ef adjunct</w:t>
            </w:r>
            <w:r w:rsidRPr="00CB08C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DAI</w:t>
            </w:r>
          </w:p>
          <w:p w:rsidR="00CB08C4" w:rsidRPr="00CB08C4" w:rsidRDefault="00CB08C4" w:rsidP="00CB08C4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CB08C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Auditorii interni din cadrul DAI</w:t>
            </w:r>
          </w:p>
        </w:tc>
        <w:tc>
          <w:tcPr>
            <w:tcW w:w="2835" w:type="dxa"/>
          </w:tcPr>
          <w:p w:rsidR="0003155C" w:rsidRDefault="005C2073" w:rsidP="0003155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ro-RO"/>
              </w:rPr>
              <w:t>Realizat</w:t>
            </w:r>
          </w:p>
          <w:p w:rsidR="0003155C" w:rsidRPr="0003155C" w:rsidRDefault="0003155C" w:rsidP="0003155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03155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 prin scrisoarea SV 28/02-1545 din 06.02.2024;</w:t>
            </w:r>
          </w:p>
          <w:p w:rsidR="0003155C" w:rsidRPr="0003155C" w:rsidRDefault="0003155C" w:rsidP="0003155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03155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 prin scrisoarea SV 28/02-3447 din 21.03.2024;</w:t>
            </w:r>
          </w:p>
          <w:p w:rsidR="0003155C" w:rsidRPr="0003155C" w:rsidRDefault="0003155C" w:rsidP="0003155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03155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 prin scrisoarea SV 28/02-5737 din 26.04.2024;</w:t>
            </w:r>
          </w:p>
          <w:p w:rsidR="00CB08C4" w:rsidRDefault="0003155C" w:rsidP="0003155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03155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 prin scrisoarea SV 28/02-7772 din 14.06.2024;</w:t>
            </w:r>
          </w:p>
          <w:p w:rsidR="00C55183" w:rsidRDefault="002144BD" w:rsidP="0003155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 prin scrisoarea SV 28/02-10666 din 21.08</w:t>
            </w:r>
            <w:r w:rsidR="00C55183" w:rsidRPr="00C5518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.2024;</w:t>
            </w:r>
          </w:p>
          <w:p w:rsidR="00C55183" w:rsidRDefault="00C55183" w:rsidP="0003155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5518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 prin sc</w:t>
            </w:r>
            <w:r w:rsidR="002144B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risoarea SV 28/02-10902 din 28.08</w:t>
            </w:r>
            <w:r w:rsidRPr="00C5518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.2024;</w:t>
            </w:r>
          </w:p>
          <w:p w:rsidR="002144BD" w:rsidRDefault="002144BD" w:rsidP="002144BD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2144B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 prin scrisoarea SV 28/02-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15192 din 10.12</w:t>
            </w:r>
            <w:r w:rsidRPr="002144B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.2024;</w:t>
            </w:r>
          </w:p>
          <w:p w:rsidR="007A3EA5" w:rsidRPr="0003155C" w:rsidRDefault="007A3EA5" w:rsidP="002144BD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 prin scrisoarea SV 28/02-15363 din 13.12</w:t>
            </w:r>
            <w:r w:rsidRPr="007A3EA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.2024;</w:t>
            </w:r>
          </w:p>
        </w:tc>
      </w:tr>
      <w:tr w:rsidR="002E3DD5" w:rsidRPr="004C7572" w:rsidTr="0061233F">
        <w:tc>
          <w:tcPr>
            <w:tcW w:w="14312" w:type="dxa"/>
            <w:gridSpan w:val="7"/>
          </w:tcPr>
          <w:p w:rsidR="002E3DD5" w:rsidRPr="00031B00" w:rsidRDefault="002E3DD5" w:rsidP="00D41C29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F04BE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o-RO"/>
              </w:rPr>
              <w:t>Obiectivul nr. 3. Dezvoltarea și promovarea activității de audit intern din cadrul Serviciului Vamal.</w:t>
            </w:r>
          </w:p>
        </w:tc>
      </w:tr>
      <w:tr w:rsidR="008C6EA1" w:rsidRPr="004C7572" w:rsidTr="00854F5D">
        <w:tc>
          <w:tcPr>
            <w:tcW w:w="1779" w:type="dxa"/>
            <w:vMerge w:val="restart"/>
          </w:tcPr>
          <w:p w:rsidR="008C6EA1" w:rsidRPr="002F04BE" w:rsidRDefault="008C6EA1" w:rsidP="00D41C29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2F04B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3.1 Planificarea și raportarea activității de audit intern</w:t>
            </w:r>
          </w:p>
        </w:tc>
        <w:tc>
          <w:tcPr>
            <w:tcW w:w="2629" w:type="dxa"/>
          </w:tcPr>
          <w:p w:rsidR="008C6EA1" w:rsidRPr="002F04BE" w:rsidRDefault="008C6EA1" w:rsidP="00D41C29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2F04B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3.1.1. Întocmirea raportului anual al activității de audit intern în conformitate cu Regulamentul aprobat prin Ordinul Ministrului Finanțelor nr.176/2019.</w:t>
            </w:r>
          </w:p>
        </w:tc>
        <w:tc>
          <w:tcPr>
            <w:tcW w:w="1327" w:type="dxa"/>
          </w:tcPr>
          <w:p w:rsidR="008C6EA1" w:rsidRPr="002F04BE" w:rsidRDefault="008C6EA1" w:rsidP="00D41C2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2F04B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Trimestrul I</w:t>
            </w:r>
          </w:p>
        </w:tc>
        <w:tc>
          <w:tcPr>
            <w:tcW w:w="2509" w:type="dxa"/>
            <w:vMerge w:val="restart"/>
          </w:tcPr>
          <w:p w:rsidR="008C6EA1" w:rsidRDefault="008C6EA1" w:rsidP="002F04BE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2F04BE">
              <w:rPr>
                <w:rFonts w:ascii="Times New Roman" w:hAnsi="Times New Roman" w:cs="Times New Roman"/>
                <w:sz w:val="20"/>
                <w:szCs w:val="20"/>
                <w:u w:val="single"/>
                <w:lang w:val="ro-RO"/>
              </w:rPr>
              <w:t>Riscuri interne:</w:t>
            </w:r>
            <w:r w:rsidRPr="002F04B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Neîndeplinirea numărului total de ore de ins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truire a efectivului Direcției;</w:t>
            </w:r>
            <w:r w:rsidRPr="002F04B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                           Elaborarea ineficientă/incompletă a Planurilo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r și Rapoartelor ale Direcției;</w:t>
            </w:r>
            <w:r w:rsidRPr="002F04B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                            Comiterea actelor de fraudă și corupție</w:t>
            </w:r>
          </w:p>
          <w:p w:rsidR="008C6EA1" w:rsidRPr="002F04BE" w:rsidRDefault="008C6EA1" w:rsidP="002F04BE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8C6EA1" w:rsidRDefault="008C6EA1" w:rsidP="002F04BE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val="ro-RO"/>
              </w:rPr>
            </w:pPr>
          </w:p>
          <w:p w:rsidR="008C6EA1" w:rsidRDefault="008C6EA1" w:rsidP="002F04BE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val="ro-RO"/>
              </w:rPr>
            </w:pPr>
          </w:p>
          <w:p w:rsidR="008C6EA1" w:rsidRDefault="008C6EA1" w:rsidP="002F04BE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val="ro-RO"/>
              </w:rPr>
            </w:pPr>
            <w:r w:rsidRPr="002F04BE">
              <w:rPr>
                <w:rFonts w:ascii="Times New Roman" w:hAnsi="Times New Roman" w:cs="Times New Roman"/>
                <w:sz w:val="20"/>
                <w:szCs w:val="20"/>
                <w:u w:val="single"/>
                <w:lang w:val="ro-RO"/>
              </w:rPr>
              <w:t>Riscuri externe:</w:t>
            </w:r>
          </w:p>
          <w:p w:rsidR="008C6EA1" w:rsidRPr="002F04BE" w:rsidRDefault="008C6EA1" w:rsidP="002F04BE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2F04B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Lipsa schimbului de experiență cu autoritățile de prof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il internaționale/naționale;</w:t>
            </w:r>
            <w:r w:rsidRPr="002F04B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                                 Funcționarii vamali din cadrul Direcției nu beneficiază de instruiri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anuale din domeniul tehnologii</w:t>
            </w:r>
            <w:r w:rsidRPr="002F04B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                              informaționale și financiar-contabile.</w:t>
            </w:r>
          </w:p>
        </w:tc>
        <w:tc>
          <w:tcPr>
            <w:tcW w:w="1682" w:type="dxa"/>
          </w:tcPr>
          <w:p w:rsidR="008C6EA1" w:rsidRPr="002F04BE" w:rsidRDefault="008C6EA1" w:rsidP="00D41C2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2F04B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Raport aprobat și prezentat Ministerului Finanțelor</w:t>
            </w:r>
          </w:p>
        </w:tc>
        <w:tc>
          <w:tcPr>
            <w:tcW w:w="1551" w:type="dxa"/>
          </w:tcPr>
          <w:p w:rsidR="008C6EA1" w:rsidRPr="002F04BE" w:rsidRDefault="008C6EA1" w:rsidP="002F04BE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2F04B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Șef DAI</w:t>
            </w:r>
          </w:p>
          <w:p w:rsidR="008C6EA1" w:rsidRPr="002F04BE" w:rsidRDefault="008C6EA1" w:rsidP="002F04BE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2F04B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Șef adjunct DAI</w:t>
            </w:r>
          </w:p>
        </w:tc>
        <w:tc>
          <w:tcPr>
            <w:tcW w:w="2835" w:type="dxa"/>
          </w:tcPr>
          <w:p w:rsidR="008C6EA1" w:rsidRPr="00662BDC" w:rsidRDefault="005C2073" w:rsidP="00D41C29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ro-RO"/>
              </w:rPr>
              <w:t>Realizat</w:t>
            </w:r>
          </w:p>
          <w:p w:rsidR="008C6EA1" w:rsidRPr="00662BDC" w:rsidRDefault="008C6EA1" w:rsidP="00D41C29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2BD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Raportul de activitate remis Ministerului Finanțelor prin scrisoarea SV 28/02-2783 din 29.02.2024 și Curții de Conturi prin scrisoarea SV 28/02-2784 din 29.02.2024.</w:t>
            </w:r>
          </w:p>
        </w:tc>
      </w:tr>
      <w:tr w:rsidR="008C6EA1" w:rsidRPr="004C7572" w:rsidTr="00854F5D">
        <w:tc>
          <w:tcPr>
            <w:tcW w:w="1779" w:type="dxa"/>
            <w:vMerge/>
          </w:tcPr>
          <w:p w:rsidR="008C6EA1" w:rsidRPr="002F04BE" w:rsidRDefault="008C6EA1" w:rsidP="00D41C2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2629" w:type="dxa"/>
          </w:tcPr>
          <w:p w:rsidR="008C6EA1" w:rsidRPr="002F04BE" w:rsidRDefault="008C6EA1" w:rsidP="002F04BE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2F04B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3.1.2 Revizuirea Planului Strategic DAI 2022-2024.</w:t>
            </w:r>
          </w:p>
        </w:tc>
        <w:tc>
          <w:tcPr>
            <w:tcW w:w="1327" w:type="dxa"/>
          </w:tcPr>
          <w:p w:rsidR="008C6EA1" w:rsidRPr="002F04BE" w:rsidRDefault="008C6EA1" w:rsidP="00D41C2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2F04B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Semestrul I</w:t>
            </w:r>
          </w:p>
        </w:tc>
        <w:tc>
          <w:tcPr>
            <w:tcW w:w="2509" w:type="dxa"/>
            <w:vMerge/>
          </w:tcPr>
          <w:p w:rsidR="008C6EA1" w:rsidRPr="002F04BE" w:rsidRDefault="008C6EA1" w:rsidP="00D41C2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682" w:type="dxa"/>
          </w:tcPr>
          <w:p w:rsidR="008C6EA1" w:rsidRPr="002F04BE" w:rsidRDefault="008C6EA1" w:rsidP="00D41C2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2F04B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Aprobarea Planului Strategic revizuit</w:t>
            </w:r>
          </w:p>
        </w:tc>
        <w:tc>
          <w:tcPr>
            <w:tcW w:w="1551" w:type="dxa"/>
          </w:tcPr>
          <w:p w:rsidR="008C6EA1" w:rsidRPr="002F04BE" w:rsidRDefault="008C6EA1" w:rsidP="002F04BE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2F04B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Șef DAI</w:t>
            </w:r>
          </w:p>
          <w:p w:rsidR="008C6EA1" w:rsidRPr="002F04BE" w:rsidRDefault="008C6EA1" w:rsidP="002F04BE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2F04B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Șef adjunct DAI</w:t>
            </w:r>
          </w:p>
        </w:tc>
        <w:tc>
          <w:tcPr>
            <w:tcW w:w="2835" w:type="dxa"/>
          </w:tcPr>
          <w:p w:rsidR="008C6EA1" w:rsidRPr="008C6EA1" w:rsidRDefault="008C6EA1" w:rsidP="00D41C29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ro-RO"/>
              </w:rPr>
              <w:t>Activitate realizată – 9</w:t>
            </w:r>
            <w:r w:rsidRPr="008C6EA1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ro-RO"/>
              </w:rPr>
              <w:t>0%</w:t>
            </w:r>
          </w:p>
          <w:p w:rsidR="008C6EA1" w:rsidRPr="00662BDC" w:rsidRDefault="008C6EA1" w:rsidP="00D41C29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2BD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Planul Strategic DAI 2022-2024 a fost revizuit prin Raportul nr.8015 din 28.11.2023.</w:t>
            </w:r>
          </w:p>
        </w:tc>
      </w:tr>
      <w:tr w:rsidR="008C6EA1" w:rsidRPr="00F943F5" w:rsidTr="00854F5D">
        <w:tc>
          <w:tcPr>
            <w:tcW w:w="1779" w:type="dxa"/>
            <w:vMerge/>
          </w:tcPr>
          <w:p w:rsidR="008C6EA1" w:rsidRPr="002F04BE" w:rsidRDefault="008C6EA1" w:rsidP="00D41C2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2629" w:type="dxa"/>
          </w:tcPr>
          <w:p w:rsidR="008C6EA1" w:rsidRPr="002F04BE" w:rsidRDefault="008C6EA1" w:rsidP="008C6EA1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3.1.3 </w:t>
            </w:r>
            <w:r w:rsidRPr="008C6EA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Elaborarea Raportului  de conformitate cu PAÎCAAI a SV</w:t>
            </w:r>
          </w:p>
        </w:tc>
        <w:tc>
          <w:tcPr>
            <w:tcW w:w="1327" w:type="dxa"/>
          </w:tcPr>
          <w:p w:rsidR="008C6EA1" w:rsidRPr="002F04BE" w:rsidRDefault="008C6EA1" w:rsidP="00D41C2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2F04B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Trimestrul I</w:t>
            </w:r>
          </w:p>
        </w:tc>
        <w:tc>
          <w:tcPr>
            <w:tcW w:w="2509" w:type="dxa"/>
            <w:vMerge/>
          </w:tcPr>
          <w:p w:rsidR="008C6EA1" w:rsidRPr="002F04BE" w:rsidRDefault="008C6EA1" w:rsidP="00D41C2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682" w:type="dxa"/>
          </w:tcPr>
          <w:p w:rsidR="008C6EA1" w:rsidRPr="002F04BE" w:rsidRDefault="008C6EA1" w:rsidP="00D41C2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2F04B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Raport aprobat și prezentat directorului Serviciului Vamal</w:t>
            </w:r>
          </w:p>
        </w:tc>
        <w:tc>
          <w:tcPr>
            <w:tcW w:w="1551" w:type="dxa"/>
          </w:tcPr>
          <w:p w:rsidR="008C6EA1" w:rsidRPr="002F04BE" w:rsidRDefault="008C6EA1" w:rsidP="002F04BE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2F04B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Șef DAI</w:t>
            </w:r>
          </w:p>
          <w:p w:rsidR="008C6EA1" w:rsidRPr="002F04BE" w:rsidRDefault="008C6EA1" w:rsidP="002F04BE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2F04B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Șef adjunct DAI</w:t>
            </w:r>
          </w:p>
        </w:tc>
        <w:tc>
          <w:tcPr>
            <w:tcW w:w="2835" w:type="dxa"/>
          </w:tcPr>
          <w:p w:rsidR="008C6EA1" w:rsidRPr="002F04BE" w:rsidRDefault="002619E3" w:rsidP="00D41C29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ro-RO"/>
              </w:rPr>
            </w:pPr>
            <w:r w:rsidRPr="002619E3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ro-RO"/>
              </w:rPr>
              <w:t>Activitate realizată – 90%</w:t>
            </w:r>
          </w:p>
          <w:p w:rsidR="008C6EA1" w:rsidRPr="002F04BE" w:rsidRDefault="006529ED" w:rsidP="006529ED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529E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Analiza asupra Registrului Riscurilor în cadrul Direcției audit intern pentru anul 2023 realizat la 01.04.2023. Registrul riscurilor DAI pentru 2024 aprobat la 01.04.2024.</w:t>
            </w:r>
          </w:p>
        </w:tc>
      </w:tr>
      <w:tr w:rsidR="008C6EA1" w:rsidRPr="004C7572" w:rsidTr="00854F5D">
        <w:tc>
          <w:tcPr>
            <w:tcW w:w="1779" w:type="dxa"/>
            <w:vMerge/>
          </w:tcPr>
          <w:p w:rsidR="008C6EA1" w:rsidRPr="002F04BE" w:rsidRDefault="008C6EA1" w:rsidP="00D41C2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2629" w:type="dxa"/>
          </w:tcPr>
          <w:p w:rsidR="008C6EA1" w:rsidRPr="002F04BE" w:rsidRDefault="008C6EA1" w:rsidP="002F04BE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2F04B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3.1.4. Elaborarea Planului de acțiuni al DAI pentru anul 2024.</w:t>
            </w:r>
          </w:p>
        </w:tc>
        <w:tc>
          <w:tcPr>
            <w:tcW w:w="1327" w:type="dxa"/>
          </w:tcPr>
          <w:p w:rsidR="008C6EA1" w:rsidRPr="002F04BE" w:rsidRDefault="008C6EA1" w:rsidP="00D41C29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2F04B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Semestrul I</w:t>
            </w:r>
          </w:p>
        </w:tc>
        <w:tc>
          <w:tcPr>
            <w:tcW w:w="2509" w:type="dxa"/>
            <w:vMerge/>
          </w:tcPr>
          <w:p w:rsidR="008C6EA1" w:rsidRPr="002F04BE" w:rsidRDefault="008C6EA1" w:rsidP="00D41C2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682" w:type="dxa"/>
          </w:tcPr>
          <w:p w:rsidR="008C6EA1" w:rsidRPr="002F04BE" w:rsidRDefault="008C6EA1" w:rsidP="00D41C2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2F04B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Plan de acțiuni aprobat de directorul Serviciului Vamal.</w:t>
            </w:r>
          </w:p>
        </w:tc>
        <w:tc>
          <w:tcPr>
            <w:tcW w:w="1551" w:type="dxa"/>
          </w:tcPr>
          <w:p w:rsidR="008C6EA1" w:rsidRPr="002F04BE" w:rsidRDefault="008C6EA1" w:rsidP="002F04BE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2F04B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Șef DAI</w:t>
            </w:r>
          </w:p>
          <w:p w:rsidR="008C6EA1" w:rsidRPr="002F04BE" w:rsidRDefault="008C6EA1" w:rsidP="002F04BE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2F04B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Șef adjunct DAI</w:t>
            </w:r>
          </w:p>
        </w:tc>
        <w:tc>
          <w:tcPr>
            <w:tcW w:w="2835" w:type="dxa"/>
          </w:tcPr>
          <w:p w:rsidR="002619E3" w:rsidRDefault="002619E3" w:rsidP="002619E3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ro-RO"/>
              </w:rPr>
              <w:t>R</w:t>
            </w:r>
            <w:r w:rsidR="009917FC" w:rsidRPr="009917F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ro-RO"/>
              </w:rPr>
              <w:t>ealizat</w:t>
            </w:r>
          </w:p>
          <w:p w:rsidR="00754966" w:rsidRDefault="009917FC" w:rsidP="002619E3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917F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Planul remis Ministerului Finanțelor prin scrisoarea </w:t>
            </w:r>
          </w:p>
          <w:p w:rsidR="008C6EA1" w:rsidRPr="002F04BE" w:rsidRDefault="009917FC" w:rsidP="002619E3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917F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</w:t>
            </w:r>
            <w:r w:rsidR="0075496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V 28/02-2783 din 29.02.2024  </w:t>
            </w:r>
            <w:r w:rsidRPr="009917F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Curții de Conturi prin scrisoarea SV 28/02-2784 din 29.02.2024.</w:t>
            </w:r>
          </w:p>
        </w:tc>
      </w:tr>
      <w:tr w:rsidR="00A37953" w:rsidRPr="004C7572" w:rsidTr="00854F5D">
        <w:tc>
          <w:tcPr>
            <w:tcW w:w="1779" w:type="dxa"/>
          </w:tcPr>
          <w:p w:rsidR="00A37953" w:rsidRPr="00A37953" w:rsidRDefault="00A37953" w:rsidP="00D41C29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3795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3.2 Dezvoltarea profesională a funcționarilor Direcției.</w:t>
            </w:r>
          </w:p>
        </w:tc>
        <w:tc>
          <w:tcPr>
            <w:tcW w:w="2629" w:type="dxa"/>
          </w:tcPr>
          <w:p w:rsidR="00A37953" w:rsidRPr="00A37953" w:rsidRDefault="00A37953" w:rsidP="00A37953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3795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3.2.1. Participarea funcționarilor vamali la activități de instruire</w:t>
            </w:r>
          </w:p>
        </w:tc>
        <w:tc>
          <w:tcPr>
            <w:tcW w:w="1327" w:type="dxa"/>
          </w:tcPr>
          <w:p w:rsidR="00A37953" w:rsidRPr="00A37953" w:rsidRDefault="00A37953" w:rsidP="00A3795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3795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continuu</w:t>
            </w:r>
          </w:p>
        </w:tc>
        <w:tc>
          <w:tcPr>
            <w:tcW w:w="2509" w:type="dxa"/>
            <w:vMerge/>
          </w:tcPr>
          <w:p w:rsidR="00A37953" w:rsidRPr="00031B00" w:rsidRDefault="00A37953" w:rsidP="00D41C2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682" w:type="dxa"/>
          </w:tcPr>
          <w:p w:rsidR="00006210" w:rsidRDefault="00A37953" w:rsidP="00D41C2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A37953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Activități de instruire a auditorilor  </w:t>
            </w:r>
          </w:p>
          <w:p w:rsidR="00A37953" w:rsidRPr="00A37953" w:rsidRDefault="00A37953" w:rsidP="00D41C2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A37953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(min 40 h)</w:t>
            </w:r>
          </w:p>
        </w:tc>
        <w:tc>
          <w:tcPr>
            <w:tcW w:w="1551" w:type="dxa"/>
          </w:tcPr>
          <w:p w:rsidR="00A37953" w:rsidRPr="00A37953" w:rsidRDefault="00A37953" w:rsidP="00A37953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A37953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Șef DAI</w:t>
            </w:r>
          </w:p>
          <w:p w:rsidR="00A37953" w:rsidRPr="00A37953" w:rsidRDefault="00A37953" w:rsidP="00A37953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A37953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Șef adjunct DAI</w:t>
            </w:r>
          </w:p>
          <w:p w:rsidR="00A37953" w:rsidRPr="00031B00" w:rsidRDefault="00A37953" w:rsidP="00A37953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37953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Auditorii interni din cadrul DAI</w:t>
            </w:r>
          </w:p>
        </w:tc>
        <w:tc>
          <w:tcPr>
            <w:tcW w:w="2835" w:type="dxa"/>
          </w:tcPr>
          <w:p w:rsidR="00A37953" w:rsidRDefault="00E2764E" w:rsidP="00D41C29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ro-RO"/>
              </w:rPr>
              <w:t>Realizat</w:t>
            </w:r>
          </w:p>
          <w:p w:rsidR="00006210" w:rsidRDefault="00006210" w:rsidP="00D41C29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00621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Efec</w:t>
            </w:r>
            <w:r w:rsidR="00DB3A5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tivul DAI a participat la cca 22</w:t>
            </w:r>
            <w:r w:rsidRPr="0000621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activități de instruire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</w:p>
          <w:p w:rsidR="00A37953" w:rsidRPr="002619E3" w:rsidRDefault="00DB3A58" w:rsidP="002619E3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(cu durata de cca</w:t>
            </w:r>
            <w:r w:rsidR="00AA232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250</w:t>
            </w:r>
            <w:r w:rsidR="0000621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h)</w:t>
            </w:r>
          </w:p>
        </w:tc>
      </w:tr>
      <w:tr w:rsidR="00A37953" w:rsidRPr="004C7572" w:rsidTr="00854F5D">
        <w:tc>
          <w:tcPr>
            <w:tcW w:w="1779" w:type="dxa"/>
            <w:vMerge w:val="restart"/>
          </w:tcPr>
          <w:p w:rsidR="00A37953" w:rsidRPr="00A37953" w:rsidRDefault="00A37953" w:rsidP="00A37953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A3795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3.3 Perfecționarea și promovarea activității de audit intern</w:t>
            </w:r>
          </w:p>
        </w:tc>
        <w:tc>
          <w:tcPr>
            <w:tcW w:w="2629" w:type="dxa"/>
          </w:tcPr>
          <w:p w:rsidR="00A37953" w:rsidRPr="00A37953" w:rsidRDefault="00A37953" w:rsidP="00D41C29">
            <w:pPr>
              <w:tabs>
                <w:tab w:val="left" w:pos="217"/>
                <w:tab w:val="left" w:pos="50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3795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3.3.1. Participarea în calitate de formatori la seminarele de instruire a funcționarilor vamali.</w:t>
            </w:r>
          </w:p>
        </w:tc>
        <w:tc>
          <w:tcPr>
            <w:tcW w:w="1327" w:type="dxa"/>
          </w:tcPr>
          <w:p w:rsidR="00A37953" w:rsidRPr="00A37953" w:rsidRDefault="00A37953" w:rsidP="00A37953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A37953" w:rsidRPr="00A37953" w:rsidRDefault="00A37953" w:rsidP="00D41C2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3795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continuu</w:t>
            </w:r>
          </w:p>
        </w:tc>
        <w:tc>
          <w:tcPr>
            <w:tcW w:w="2509" w:type="dxa"/>
            <w:vMerge/>
          </w:tcPr>
          <w:p w:rsidR="00A37953" w:rsidRPr="00A37953" w:rsidRDefault="00A37953" w:rsidP="00D41C2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682" w:type="dxa"/>
          </w:tcPr>
          <w:p w:rsidR="004C3695" w:rsidRPr="004C3695" w:rsidRDefault="004C3695" w:rsidP="004C3695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C369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Activități de instruire organizate de Centru de Instruire</w:t>
            </w:r>
          </w:p>
          <w:p w:rsidR="00A37953" w:rsidRPr="00A37953" w:rsidRDefault="004C3695" w:rsidP="004C3695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C369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(min 75 %)</w:t>
            </w:r>
          </w:p>
        </w:tc>
        <w:tc>
          <w:tcPr>
            <w:tcW w:w="1551" w:type="dxa"/>
          </w:tcPr>
          <w:p w:rsidR="00A37953" w:rsidRPr="00A37953" w:rsidRDefault="00A37953" w:rsidP="00A37953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3795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Auditorii interni din cadrul DAI</w:t>
            </w:r>
          </w:p>
        </w:tc>
        <w:tc>
          <w:tcPr>
            <w:tcW w:w="2835" w:type="dxa"/>
          </w:tcPr>
          <w:p w:rsidR="00A37953" w:rsidRDefault="00E2764E" w:rsidP="00D41C29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ro-RO"/>
              </w:rPr>
              <w:t>Realizat</w:t>
            </w:r>
          </w:p>
          <w:p w:rsidR="00C24A9E" w:rsidRPr="00C24A9E" w:rsidRDefault="00C24A9E" w:rsidP="00C24A9E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- </w:t>
            </w:r>
            <w:r w:rsidRPr="00C24A9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25 h în calitate de formator</w:t>
            </w:r>
            <w:r w:rsidR="00266CC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</w:t>
            </w:r>
            <w:r w:rsidRPr="00C24A9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, în cadrul</w:t>
            </w:r>
            <w:r w:rsidRPr="00C24A9E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ro-RO"/>
              </w:rPr>
              <w:t xml:space="preserve"> </w:t>
            </w:r>
            <w:r w:rsidRPr="00C24A9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instruirilor organizate de CTIF;</w:t>
            </w:r>
          </w:p>
          <w:p w:rsidR="00C24A9E" w:rsidRPr="006529ED" w:rsidRDefault="00C24A9E" w:rsidP="00C24A9E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- </w:t>
            </w:r>
            <w:r w:rsidRPr="00C24A9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 h în calitate de formator</w:t>
            </w:r>
            <w:r w:rsidR="00266CC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</w:t>
            </w:r>
            <w:r w:rsidRPr="00C24A9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, în cadrul instruirilor organizate de CI SV;</w:t>
            </w:r>
          </w:p>
        </w:tc>
      </w:tr>
      <w:tr w:rsidR="00A37953" w:rsidRPr="004C7572" w:rsidTr="00854F5D">
        <w:trPr>
          <w:trHeight w:val="963"/>
        </w:trPr>
        <w:tc>
          <w:tcPr>
            <w:tcW w:w="1779" w:type="dxa"/>
            <w:vMerge/>
          </w:tcPr>
          <w:p w:rsidR="00A37953" w:rsidRPr="00A37953" w:rsidRDefault="00A37953" w:rsidP="00A37953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629" w:type="dxa"/>
          </w:tcPr>
          <w:p w:rsidR="00A37953" w:rsidRPr="00A37953" w:rsidRDefault="00A37953" w:rsidP="00A37953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3795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3.3.2. Revizuirea Procedurii operaționale ale DAI</w:t>
            </w:r>
          </w:p>
          <w:p w:rsidR="00A37953" w:rsidRPr="00A37953" w:rsidRDefault="00A37953" w:rsidP="00A37953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327" w:type="dxa"/>
          </w:tcPr>
          <w:p w:rsidR="00A37953" w:rsidRPr="00A37953" w:rsidRDefault="00A37953" w:rsidP="00A37953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A37953" w:rsidRPr="00A37953" w:rsidRDefault="00A37953" w:rsidP="00D41C2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3795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continuu</w:t>
            </w:r>
          </w:p>
        </w:tc>
        <w:tc>
          <w:tcPr>
            <w:tcW w:w="2509" w:type="dxa"/>
            <w:vMerge/>
          </w:tcPr>
          <w:p w:rsidR="00A37953" w:rsidRPr="00A37953" w:rsidRDefault="00A37953" w:rsidP="00D41C2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682" w:type="dxa"/>
          </w:tcPr>
          <w:p w:rsidR="00A37953" w:rsidRPr="00A37953" w:rsidRDefault="004C3695" w:rsidP="00D41C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C369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Aprobarea procedurii operaționale revizuite.</w:t>
            </w:r>
          </w:p>
        </w:tc>
        <w:tc>
          <w:tcPr>
            <w:tcW w:w="1551" w:type="dxa"/>
          </w:tcPr>
          <w:p w:rsidR="00A37953" w:rsidRPr="00A37953" w:rsidRDefault="00A37953" w:rsidP="00A37953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3795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Șef DAI</w:t>
            </w:r>
          </w:p>
          <w:p w:rsidR="00A37953" w:rsidRPr="00A37953" w:rsidRDefault="00A37953" w:rsidP="00A37953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3795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Șef adjunct DAI</w:t>
            </w:r>
          </w:p>
          <w:p w:rsidR="00A37953" w:rsidRPr="00A37953" w:rsidRDefault="00A37953" w:rsidP="00A37953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3795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Auditorii interni din cadrul DAI</w:t>
            </w:r>
          </w:p>
        </w:tc>
        <w:tc>
          <w:tcPr>
            <w:tcW w:w="2835" w:type="dxa"/>
          </w:tcPr>
          <w:p w:rsidR="00445A32" w:rsidRDefault="00E2764E" w:rsidP="00D41C29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ro-RO"/>
              </w:rPr>
              <w:t>Realizat</w:t>
            </w:r>
          </w:p>
          <w:p w:rsidR="00445A32" w:rsidRDefault="00445A32" w:rsidP="00452D6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Au fost elaborate:</w:t>
            </w:r>
          </w:p>
          <w:p w:rsidR="00FA6082" w:rsidRPr="00452D61" w:rsidRDefault="00452D61" w:rsidP="00452D61">
            <w:pPr>
              <w:pStyle w:val="a4"/>
              <w:numPr>
                <w:ilvl w:val="0"/>
                <w:numId w:val="6"/>
              </w:numPr>
              <w:tabs>
                <w:tab w:val="left" w:pos="174"/>
              </w:tabs>
              <w:spacing w:after="0"/>
              <w:ind w:left="0" w:firstLine="45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52D6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procesul de conlucrar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e în cadrul misiunilor de audit </w:t>
            </w:r>
            <w:r w:rsidRPr="00452D6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extern;</w:t>
            </w:r>
          </w:p>
          <w:p w:rsidR="00445A32" w:rsidRPr="00452D61" w:rsidRDefault="00452D61" w:rsidP="00452D61">
            <w:pPr>
              <w:pStyle w:val="a4"/>
              <w:numPr>
                <w:ilvl w:val="0"/>
                <w:numId w:val="6"/>
              </w:numPr>
              <w:tabs>
                <w:tab w:val="left" w:pos="174"/>
              </w:tabs>
              <w:ind w:left="0" w:firstLine="45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52D6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procesul derulării misiunilor de audit intern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.</w:t>
            </w:r>
          </w:p>
        </w:tc>
      </w:tr>
    </w:tbl>
    <w:p w:rsidR="005A7A83" w:rsidRDefault="005A7A83" w:rsidP="00D41C29">
      <w:pPr>
        <w:tabs>
          <w:tab w:val="left" w:pos="1134"/>
        </w:tabs>
        <w:spacing w:after="0" w:line="240" w:lineRule="auto"/>
        <w:ind w:left="1134"/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</w:p>
    <w:p w:rsidR="00F26557" w:rsidRDefault="00F26557" w:rsidP="00D41C29">
      <w:pPr>
        <w:tabs>
          <w:tab w:val="left" w:pos="1134"/>
        </w:tabs>
        <w:spacing w:after="0" w:line="240" w:lineRule="auto"/>
        <w:ind w:left="1134"/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</w:p>
    <w:p w:rsidR="000345CF" w:rsidRPr="000345CF" w:rsidRDefault="000345CF" w:rsidP="000345CF">
      <w:pPr>
        <w:tabs>
          <w:tab w:val="left" w:pos="1134"/>
        </w:tabs>
        <w:spacing w:after="0" w:line="240" w:lineRule="auto"/>
        <w:ind w:left="1134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  <w:r w:rsidRPr="000345CF">
        <w:rPr>
          <w:rFonts w:ascii="Times New Roman" w:hAnsi="Times New Roman" w:cs="Times New Roman"/>
          <w:b/>
          <w:i/>
          <w:sz w:val="28"/>
          <w:szCs w:val="28"/>
          <w:lang w:val="ro-RO"/>
        </w:rPr>
        <w:t>06 ianuarie 2025</w:t>
      </w:r>
    </w:p>
    <w:p w:rsidR="000345CF" w:rsidRDefault="000345CF" w:rsidP="000345CF">
      <w:pPr>
        <w:tabs>
          <w:tab w:val="left" w:pos="1134"/>
        </w:tabs>
        <w:spacing w:after="0" w:line="240" w:lineRule="auto"/>
        <w:ind w:left="1134"/>
        <w:rPr>
          <w:rFonts w:ascii="Times New Roman" w:hAnsi="Times New Roman" w:cs="Times New Roman"/>
          <w:b/>
          <w:sz w:val="32"/>
          <w:szCs w:val="32"/>
          <w:lang w:val="ro-RO"/>
        </w:rPr>
      </w:pPr>
    </w:p>
    <w:p w:rsidR="000345CF" w:rsidRDefault="000345CF" w:rsidP="00D41C29">
      <w:pPr>
        <w:tabs>
          <w:tab w:val="left" w:pos="1134"/>
        </w:tabs>
        <w:spacing w:after="0" w:line="240" w:lineRule="auto"/>
        <w:ind w:left="1134"/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</w:p>
    <w:p w:rsidR="00B23ADC" w:rsidRPr="00B23ADC" w:rsidRDefault="004C7572" w:rsidP="00D41C29">
      <w:pPr>
        <w:tabs>
          <w:tab w:val="left" w:pos="1134"/>
        </w:tabs>
        <w:spacing w:after="0" w:line="240" w:lineRule="auto"/>
        <w:ind w:left="1134"/>
        <w:jc w:val="both"/>
        <w:rPr>
          <w:rFonts w:ascii="Times New Roman" w:hAnsi="Times New Roman" w:cs="Times New Roman"/>
          <w:b/>
          <w:sz w:val="18"/>
          <w:szCs w:val="1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</w:t>
      </w:r>
      <w:bookmarkStart w:id="0" w:name="_GoBack"/>
      <w:bookmarkEnd w:id="0"/>
    </w:p>
    <w:sectPr w:rsidR="00B23ADC" w:rsidRPr="00B23ADC" w:rsidSect="00050D4B">
      <w:pgSz w:w="15840" w:h="12240" w:orient="landscape"/>
      <w:pgMar w:top="426" w:right="568" w:bottom="85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B1EEF"/>
    <w:multiLevelType w:val="multilevel"/>
    <w:tmpl w:val="99AE40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lang w:val="ro-R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153953A9"/>
    <w:multiLevelType w:val="hybridMultilevel"/>
    <w:tmpl w:val="529E0D46"/>
    <w:lvl w:ilvl="0" w:tplc="8D88450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D97FA6"/>
    <w:multiLevelType w:val="hybridMultilevel"/>
    <w:tmpl w:val="FD3A567A"/>
    <w:lvl w:ilvl="0" w:tplc="6560ADCC">
      <w:start w:val="1"/>
      <w:numFmt w:val="bullet"/>
      <w:lvlText w:val="-"/>
      <w:lvlJc w:val="left"/>
      <w:pPr>
        <w:ind w:left="502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2B5F29BE"/>
    <w:multiLevelType w:val="hybridMultilevel"/>
    <w:tmpl w:val="398050AA"/>
    <w:lvl w:ilvl="0" w:tplc="FE244E52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F01184"/>
    <w:multiLevelType w:val="hybridMultilevel"/>
    <w:tmpl w:val="529E0D46"/>
    <w:lvl w:ilvl="0" w:tplc="8D88450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3504C2"/>
    <w:multiLevelType w:val="hybridMultilevel"/>
    <w:tmpl w:val="E2182F54"/>
    <w:lvl w:ilvl="0" w:tplc="85BAA2F4">
      <w:start w:val="1"/>
      <w:numFmt w:val="bullet"/>
      <w:lvlText w:val="-"/>
      <w:lvlJc w:val="left"/>
      <w:pPr>
        <w:ind w:left="405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9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FDF"/>
    <w:rsid w:val="00006210"/>
    <w:rsid w:val="00006828"/>
    <w:rsid w:val="0003155C"/>
    <w:rsid w:val="00031B00"/>
    <w:rsid w:val="00031C08"/>
    <w:rsid w:val="000324B7"/>
    <w:rsid w:val="000345CF"/>
    <w:rsid w:val="00045C6E"/>
    <w:rsid w:val="00050D4B"/>
    <w:rsid w:val="00094D86"/>
    <w:rsid w:val="000D06CD"/>
    <w:rsid w:val="000D4477"/>
    <w:rsid w:val="000F0500"/>
    <w:rsid w:val="000F07F4"/>
    <w:rsid w:val="000F2A05"/>
    <w:rsid w:val="000F46B8"/>
    <w:rsid w:val="000F7CB0"/>
    <w:rsid w:val="00104D1F"/>
    <w:rsid w:val="00131916"/>
    <w:rsid w:val="001429C6"/>
    <w:rsid w:val="001457F0"/>
    <w:rsid w:val="0014671D"/>
    <w:rsid w:val="00152581"/>
    <w:rsid w:val="00152C6D"/>
    <w:rsid w:val="0016437F"/>
    <w:rsid w:val="00180FE4"/>
    <w:rsid w:val="001C6438"/>
    <w:rsid w:val="001C7214"/>
    <w:rsid w:val="001D33D1"/>
    <w:rsid w:val="001D3E25"/>
    <w:rsid w:val="001E7B57"/>
    <w:rsid w:val="002014FA"/>
    <w:rsid w:val="002061B5"/>
    <w:rsid w:val="002144BD"/>
    <w:rsid w:val="00233EBF"/>
    <w:rsid w:val="00244996"/>
    <w:rsid w:val="00246095"/>
    <w:rsid w:val="00247ABD"/>
    <w:rsid w:val="00254221"/>
    <w:rsid w:val="0025487B"/>
    <w:rsid w:val="002619E3"/>
    <w:rsid w:val="00266CC2"/>
    <w:rsid w:val="002A7D2E"/>
    <w:rsid w:val="002E347E"/>
    <w:rsid w:val="002E3DD5"/>
    <w:rsid w:val="002E4E59"/>
    <w:rsid w:val="002F04BE"/>
    <w:rsid w:val="0033342A"/>
    <w:rsid w:val="00334DD1"/>
    <w:rsid w:val="00334E99"/>
    <w:rsid w:val="0036079C"/>
    <w:rsid w:val="00363666"/>
    <w:rsid w:val="003902A9"/>
    <w:rsid w:val="00395C5B"/>
    <w:rsid w:val="003A0458"/>
    <w:rsid w:val="003A4640"/>
    <w:rsid w:val="003D112F"/>
    <w:rsid w:val="003E63BD"/>
    <w:rsid w:val="003F0A2E"/>
    <w:rsid w:val="00414091"/>
    <w:rsid w:val="004169AF"/>
    <w:rsid w:val="00421D36"/>
    <w:rsid w:val="00437D13"/>
    <w:rsid w:val="00443FFF"/>
    <w:rsid w:val="00445A32"/>
    <w:rsid w:val="00447CF8"/>
    <w:rsid w:val="00452A91"/>
    <w:rsid w:val="00452D61"/>
    <w:rsid w:val="00462680"/>
    <w:rsid w:val="004626D5"/>
    <w:rsid w:val="0047676A"/>
    <w:rsid w:val="004C3695"/>
    <w:rsid w:val="004C7572"/>
    <w:rsid w:val="004F2309"/>
    <w:rsid w:val="004F7E6D"/>
    <w:rsid w:val="005066F0"/>
    <w:rsid w:val="00506BCE"/>
    <w:rsid w:val="005128F8"/>
    <w:rsid w:val="00524EAE"/>
    <w:rsid w:val="005321CA"/>
    <w:rsid w:val="00533320"/>
    <w:rsid w:val="00542B74"/>
    <w:rsid w:val="0054647A"/>
    <w:rsid w:val="00553361"/>
    <w:rsid w:val="0058157E"/>
    <w:rsid w:val="005A3279"/>
    <w:rsid w:val="005A7A83"/>
    <w:rsid w:val="005B7DCC"/>
    <w:rsid w:val="005C2073"/>
    <w:rsid w:val="00600FDF"/>
    <w:rsid w:val="00606FB1"/>
    <w:rsid w:val="0061233F"/>
    <w:rsid w:val="00616969"/>
    <w:rsid w:val="0062475D"/>
    <w:rsid w:val="00626BE7"/>
    <w:rsid w:val="00626F92"/>
    <w:rsid w:val="006331B0"/>
    <w:rsid w:val="0063434A"/>
    <w:rsid w:val="00640324"/>
    <w:rsid w:val="006529ED"/>
    <w:rsid w:val="00654B13"/>
    <w:rsid w:val="00662BDC"/>
    <w:rsid w:val="00675236"/>
    <w:rsid w:val="00683FAD"/>
    <w:rsid w:val="006B1CF1"/>
    <w:rsid w:val="006C4607"/>
    <w:rsid w:val="006D7313"/>
    <w:rsid w:val="00704862"/>
    <w:rsid w:val="007235CF"/>
    <w:rsid w:val="007266B8"/>
    <w:rsid w:val="00731487"/>
    <w:rsid w:val="00735B63"/>
    <w:rsid w:val="00736AAB"/>
    <w:rsid w:val="00754966"/>
    <w:rsid w:val="00773CAF"/>
    <w:rsid w:val="007755A8"/>
    <w:rsid w:val="00781B05"/>
    <w:rsid w:val="00793788"/>
    <w:rsid w:val="007A3EA5"/>
    <w:rsid w:val="007A7657"/>
    <w:rsid w:val="007B4BE2"/>
    <w:rsid w:val="007B69F6"/>
    <w:rsid w:val="007C59A6"/>
    <w:rsid w:val="007E784D"/>
    <w:rsid w:val="007E7C35"/>
    <w:rsid w:val="007F78AB"/>
    <w:rsid w:val="007F7AD0"/>
    <w:rsid w:val="00800277"/>
    <w:rsid w:val="00806D83"/>
    <w:rsid w:val="00810FD7"/>
    <w:rsid w:val="0081314E"/>
    <w:rsid w:val="008144CC"/>
    <w:rsid w:val="00820B02"/>
    <w:rsid w:val="0082300B"/>
    <w:rsid w:val="008261E0"/>
    <w:rsid w:val="00832C8A"/>
    <w:rsid w:val="00836012"/>
    <w:rsid w:val="008524F1"/>
    <w:rsid w:val="00852D94"/>
    <w:rsid w:val="008534EC"/>
    <w:rsid w:val="00854F5D"/>
    <w:rsid w:val="00874CE8"/>
    <w:rsid w:val="0089147E"/>
    <w:rsid w:val="00893FEF"/>
    <w:rsid w:val="008B1C96"/>
    <w:rsid w:val="008B651A"/>
    <w:rsid w:val="008C6EA1"/>
    <w:rsid w:val="008D3837"/>
    <w:rsid w:val="008D4093"/>
    <w:rsid w:val="008E06C7"/>
    <w:rsid w:val="0093178E"/>
    <w:rsid w:val="00976E3B"/>
    <w:rsid w:val="00985BDD"/>
    <w:rsid w:val="00985D84"/>
    <w:rsid w:val="009917FC"/>
    <w:rsid w:val="009F58D3"/>
    <w:rsid w:val="009F6A28"/>
    <w:rsid w:val="00A37953"/>
    <w:rsid w:val="00A37ED4"/>
    <w:rsid w:val="00A47345"/>
    <w:rsid w:val="00A47AFF"/>
    <w:rsid w:val="00A65E8D"/>
    <w:rsid w:val="00A72299"/>
    <w:rsid w:val="00A817DF"/>
    <w:rsid w:val="00A876C9"/>
    <w:rsid w:val="00A93810"/>
    <w:rsid w:val="00AA232E"/>
    <w:rsid w:val="00AB0B48"/>
    <w:rsid w:val="00AC469F"/>
    <w:rsid w:val="00AD2971"/>
    <w:rsid w:val="00AF7322"/>
    <w:rsid w:val="00B00DA1"/>
    <w:rsid w:val="00B2061E"/>
    <w:rsid w:val="00B23464"/>
    <w:rsid w:val="00B23ADC"/>
    <w:rsid w:val="00B255D8"/>
    <w:rsid w:val="00B32D5D"/>
    <w:rsid w:val="00B42472"/>
    <w:rsid w:val="00B508DC"/>
    <w:rsid w:val="00B52AA4"/>
    <w:rsid w:val="00B538A1"/>
    <w:rsid w:val="00B575FD"/>
    <w:rsid w:val="00B669DE"/>
    <w:rsid w:val="00B70E29"/>
    <w:rsid w:val="00BB59A4"/>
    <w:rsid w:val="00BC4D45"/>
    <w:rsid w:val="00C24A9E"/>
    <w:rsid w:val="00C322D6"/>
    <w:rsid w:val="00C370A2"/>
    <w:rsid w:val="00C55183"/>
    <w:rsid w:val="00C653B6"/>
    <w:rsid w:val="00C66C36"/>
    <w:rsid w:val="00C95575"/>
    <w:rsid w:val="00CB08C4"/>
    <w:rsid w:val="00CB78A0"/>
    <w:rsid w:val="00CD035E"/>
    <w:rsid w:val="00CE67E4"/>
    <w:rsid w:val="00CF725E"/>
    <w:rsid w:val="00D16529"/>
    <w:rsid w:val="00D17DED"/>
    <w:rsid w:val="00D201C8"/>
    <w:rsid w:val="00D36C97"/>
    <w:rsid w:val="00D4088B"/>
    <w:rsid w:val="00D41C29"/>
    <w:rsid w:val="00D541A6"/>
    <w:rsid w:val="00D76DE8"/>
    <w:rsid w:val="00D84E2D"/>
    <w:rsid w:val="00D96E75"/>
    <w:rsid w:val="00DB1203"/>
    <w:rsid w:val="00DB3A58"/>
    <w:rsid w:val="00DD095F"/>
    <w:rsid w:val="00DE0A2E"/>
    <w:rsid w:val="00DE2576"/>
    <w:rsid w:val="00DE79E3"/>
    <w:rsid w:val="00DF4D86"/>
    <w:rsid w:val="00DF5152"/>
    <w:rsid w:val="00E2764E"/>
    <w:rsid w:val="00E41E17"/>
    <w:rsid w:val="00E66F27"/>
    <w:rsid w:val="00E83F29"/>
    <w:rsid w:val="00E86B6D"/>
    <w:rsid w:val="00E97D22"/>
    <w:rsid w:val="00EB0326"/>
    <w:rsid w:val="00EB34B2"/>
    <w:rsid w:val="00EE578A"/>
    <w:rsid w:val="00EE77A6"/>
    <w:rsid w:val="00EF220A"/>
    <w:rsid w:val="00F11D86"/>
    <w:rsid w:val="00F26557"/>
    <w:rsid w:val="00F519E1"/>
    <w:rsid w:val="00F83CA6"/>
    <w:rsid w:val="00F86E9B"/>
    <w:rsid w:val="00F92516"/>
    <w:rsid w:val="00F943F5"/>
    <w:rsid w:val="00FA6082"/>
    <w:rsid w:val="00FB2B34"/>
    <w:rsid w:val="00FC5732"/>
    <w:rsid w:val="00FC6D4D"/>
    <w:rsid w:val="00FD5FDF"/>
    <w:rsid w:val="00FE23C1"/>
    <w:rsid w:val="00FF5DDF"/>
    <w:rsid w:val="00FF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4A307"/>
  <w15:chartTrackingRefBased/>
  <w15:docId w15:val="{BAEF6E20-BDD3-44DE-AA19-A9B4AEEBB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383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7A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Scriptoria bullet points,HotarirePunct1,Абзац списка1,List Paragraph 1,Bullets,List Paragraph (numbered (a)),Bullet,Заголовок 3 глава,Akapit z listą BS,Outlines a.b.c.,List_Paragraph,Multilevel para_II,Akapit z lista BS"/>
    <w:basedOn w:val="a"/>
    <w:link w:val="a5"/>
    <w:uiPriority w:val="34"/>
    <w:qFormat/>
    <w:rsid w:val="00A65E8D"/>
    <w:pPr>
      <w:ind w:left="720"/>
      <w:contextualSpacing/>
    </w:pPr>
  </w:style>
  <w:style w:type="character" w:customStyle="1" w:styleId="a5">
    <w:name w:val="Абзац списка Знак"/>
    <w:aliases w:val="Scriptoria bullet points Знак,HotarirePunct1 Знак,Абзац списка1 Знак,List Paragraph 1 Знак,Bullets Знак,List Paragraph (numbered (a)) Знак,Bullet Знак,Заголовок 3 глава Знак,Akapit z listą BS Знак,Outlines a.b.c. Знак"/>
    <w:link w:val="a4"/>
    <w:uiPriority w:val="34"/>
    <w:qFormat/>
    <w:locked/>
    <w:rsid w:val="007B4BE2"/>
    <w:rPr>
      <w:rFonts w:eastAsiaTheme="minorEastAsia"/>
      <w:lang w:eastAsia="ru-RU"/>
    </w:rPr>
  </w:style>
  <w:style w:type="paragraph" w:styleId="a6">
    <w:name w:val="No Spacing"/>
    <w:uiPriority w:val="1"/>
    <w:qFormat/>
    <w:rsid w:val="00736AAB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5EBA4-F68C-4E98-A82D-9235D15BA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1364</Words>
  <Characters>7780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Solovei Andrei</dc:creator>
  <cp:keywords/>
  <dc:description/>
  <cp:lastModifiedBy>Plugari Viorel</cp:lastModifiedBy>
  <cp:revision>2</cp:revision>
  <dcterms:created xsi:type="dcterms:W3CDTF">2025-01-31T09:54:00Z</dcterms:created>
  <dcterms:modified xsi:type="dcterms:W3CDTF">2025-01-31T09:54:00Z</dcterms:modified>
</cp:coreProperties>
</file>