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15D8" w14:textId="77777777" w:rsidR="00A15024" w:rsidRPr="00E50210" w:rsidRDefault="00A15024" w:rsidP="00E50210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E50210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NOTĂ INFORMATIVĂ </w:t>
      </w:r>
    </w:p>
    <w:p w14:paraId="1CB43CAC" w14:textId="77777777" w:rsidR="00377677" w:rsidRPr="00377677" w:rsidRDefault="00A15024" w:rsidP="00377677">
      <w:pPr>
        <w:pStyle w:val="a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 w:rsidRPr="00E50210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la proiectul Ordinului </w:t>
      </w:r>
      <w:r w:rsidR="00377677" w:rsidRPr="00377677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cu privire la aprobarea Cerințelor privind </w:t>
      </w:r>
    </w:p>
    <w:p w14:paraId="5D88F78E" w14:textId="7C1FDEDD" w:rsidR="00144D65" w:rsidRDefault="00377677" w:rsidP="00367C11">
      <w:pPr>
        <w:pStyle w:val="a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  <w:r w:rsidRPr="00377677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conținutul și formatul datelor pentru declarația de tranzit</w:t>
      </w:r>
      <w:r w:rsidR="00367C11" w:rsidRPr="00367C11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 </w:t>
      </w:r>
      <w:r w:rsidR="00367C11" w:rsidRPr="00377677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în Noul Sistem Computerizat de Tranzit</w:t>
      </w:r>
      <w:r w:rsidRPr="00377677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,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 </w:t>
      </w:r>
      <w:r w:rsidRPr="00377677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 xml:space="preserve">documentul de însoțire a tranzitului și listei de articole </w:t>
      </w:r>
    </w:p>
    <w:p w14:paraId="6DB5CD2D" w14:textId="77777777" w:rsidR="00367C11" w:rsidRPr="00367C11" w:rsidRDefault="00367C11" w:rsidP="00367C11">
      <w:pPr>
        <w:pStyle w:val="a4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</w:pPr>
    </w:p>
    <w:tbl>
      <w:tblPr>
        <w:tblW w:w="5156" w:type="pct"/>
        <w:tblCellSpacing w:w="1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6"/>
      </w:tblGrid>
      <w:tr w:rsidR="005826DB" w:rsidRPr="00E50210" w14:paraId="0A755641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6F2C4D0" w14:textId="77777777" w:rsidR="005826DB" w:rsidRPr="00E50210" w:rsidRDefault="005826DB" w:rsidP="00E5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</w:pPr>
            <w:r w:rsidRPr="00E5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1.</w:t>
            </w:r>
            <w:r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Denumirea autorului </w:t>
            </w:r>
            <w:proofErr w:type="spellStart"/>
            <w:r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, după caz, a </w:t>
            </w:r>
            <w:r w:rsidR="00E50210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participanților</w:t>
            </w:r>
            <w:r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la elaborarea proiectului </w:t>
            </w:r>
          </w:p>
        </w:tc>
      </w:tr>
      <w:tr w:rsidR="005826DB" w:rsidRPr="00E50210" w14:paraId="38F970AD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45FDE9A6" w14:textId="4F5AC295" w:rsidR="00D8446F" w:rsidRPr="007E6D57" w:rsidRDefault="00D8446F" w:rsidP="00377677">
            <w:pPr>
              <w:pStyle w:val="a8"/>
              <w:rPr>
                <w:rFonts w:eastAsia="Times New Roman"/>
                <w:sz w:val="26"/>
                <w:szCs w:val="26"/>
                <w:lang w:val="ro-RO"/>
              </w:rPr>
            </w:pPr>
            <w:r>
              <w:rPr>
                <w:rFonts w:eastAsia="Times New Roman"/>
                <w:sz w:val="26"/>
                <w:szCs w:val="26"/>
                <w:lang w:val="ro-RO"/>
              </w:rPr>
              <w:t>Servici</w:t>
            </w:r>
            <w:r w:rsidR="007E6D57">
              <w:rPr>
                <w:rFonts w:eastAsia="Times New Roman"/>
                <w:sz w:val="26"/>
                <w:szCs w:val="26"/>
                <w:lang w:val="ro-RO"/>
              </w:rPr>
              <w:t>ul</w:t>
            </w:r>
            <w:r>
              <w:rPr>
                <w:rFonts w:eastAsia="Times New Roman"/>
                <w:sz w:val="26"/>
                <w:szCs w:val="26"/>
                <w:lang w:val="ro-RO"/>
              </w:rPr>
              <w:t xml:space="preserve"> Vamal</w:t>
            </w:r>
            <w:r w:rsidR="007E6D57">
              <w:rPr>
                <w:rFonts w:eastAsia="Times New Roman"/>
                <w:sz w:val="26"/>
                <w:szCs w:val="26"/>
                <w:lang w:val="ro-RO"/>
              </w:rPr>
              <w:t>.</w:t>
            </w:r>
          </w:p>
        </w:tc>
      </w:tr>
      <w:tr w:rsidR="005826DB" w:rsidRPr="00E50210" w14:paraId="2ED65C57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46481DA" w14:textId="77777777" w:rsidR="005826DB" w:rsidRPr="00E50210" w:rsidRDefault="005826DB" w:rsidP="00E5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E5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2.</w:t>
            </w:r>
            <w:r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  <w:r w:rsidR="00E50210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Condițiile</w:t>
            </w:r>
            <w:r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ce au impus elaborarea proiectului de act normativ </w:t>
            </w:r>
            <w:proofErr w:type="spellStart"/>
            <w:r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şi</w:t>
            </w:r>
            <w:proofErr w:type="spellEnd"/>
            <w:r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</w:t>
            </w:r>
            <w:r w:rsidR="00E50210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finalitățile</w:t>
            </w:r>
            <w:r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urmărite</w:t>
            </w:r>
            <w:r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5826DB" w:rsidRPr="00E50210" w14:paraId="04DEC04A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32BAC5" w14:textId="77777777" w:rsidR="00367C11" w:rsidRPr="00367C11" w:rsidRDefault="00367C11" w:rsidP="00367C11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conformitate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cu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prevederile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art.296 Cod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vamal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nr.95/2021,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pentru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realiza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schimbul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date din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documentele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pentru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operaţiunile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şi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pentru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îndeplinirea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formalităţilor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vamale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aferente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regimului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se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utilizează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un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sistem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electronic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acest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sens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Serviciul</w:t>
            </w:r>
            <w:proofErr w:type="spellEnd"/>
            <w:proofErr w:type="gram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Vamal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cadrul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proiectului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finanțat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Uniunea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Europeană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și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dezvoltat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Conferința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Națiunilor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Unite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pentru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Comerț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și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Dezvoltare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elaborează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un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nou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sistem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electronic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compatibil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cu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ultimele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cerințe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funcționale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ale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sistemului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transeuropean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NCTS -P5 (New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Computerised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Transit System phase5).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Această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direcție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dezvolatre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informațională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este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strictă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corelare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cu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angajamentul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asumat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Republica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Moldova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prevăzut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la art.193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Acordul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Asociere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cu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Uniunea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Europeană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care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este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menționat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că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părțile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urmăresc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asigurarea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interconectivității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progresive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sistemelor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lor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vamal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perspectiva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aderării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viitoare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Republicii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Moldova la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Convenția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din 1987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privind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un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regim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comun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14:paraId="62565F6B" w14:textId="10B0281A" w:rsidR="00880F7A" w:rsidRDefault="00367C11" w:rsidP="00367C11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Drept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urmare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în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vederea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aplicării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noului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sistem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electronic de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tranzit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Serviciul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Vamal</w:t>
            </w:r>
            <w:proofErr w:type="spellEnd"/>
            <w:r w:rsidRPr="00367C1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p</w:t>
            </w:r>
            <w:proofErr w:type="spellStart"/>
            <w:r w:rsidR="00DA4A7E" w:rsidRPr="00DA4A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roiectul</w:t>
            </w:r>
            <w:proofErr w:type="spellEnd"/>
            <w:r w:rsidR="00DA4A7E" w:rsidRPr="00DA4A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act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ului</w:t>
            </w:r>
            <w:r w:rsidR="00DA4A7E" w:rsidRPr="00DA4A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normativ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care </w:t>
            </w:r>
            <w:r w:rsidR="00DA4A7E" w:rsidRPr="00DA4A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este necesar pentru a reglementa conținutul și formatul datelor pentru declarațiile de tranzit</w:t>
            </w:r>
            <w:r w:rsidRPr="00DA4A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</w:t>
            </w:r>
            <w:r w:rsidRPr="00DA4A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în Noul Sistem Computerizat de Tranzit (NCTS)</w:t>
            </w:r>
            <w:r w:rsidR="00DA4A7E" w:rsidRPr="00DA4A7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, documentele de însoțire a tranzitului și listele de articole. </w:t>
            </w:r>
          </w:p>
          <w:p w14:paraId="50FF34B4" w14:textId="660A10BC" w:rsidR="00367C11" w:rsidRDefault="00367C11" w:rsidP="00367C11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ro-RO"/>
              </w:rPr>
              <w:t>Finalitățile urmărite de proiectul actului normativ:</w:t>
            </w:r>
          </w:p>
          <w:p w14:paraId="2A328B77" w14:textId="77777777" w:rsidR="00367C11" w:rsidRDefault="00095586" w:rsidP="00367C11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367C11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Necesitatea alin</w:t>
            </w:r>
            <w:r w:rsidR="00367C11" w:rsidRPr="00367C11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ierii</w:t>
            </w:r>
            <w:r w:rsidRPr="00367C11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la standardele internaționale: Pentru a asigura compatibilitatea și interoperabilitatea sistemului de tranzit vamal al Republicii Moldova cu sistemele similare din alte state</w:t>
            </w:r>
            <w:r w:rsidR="00367C11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;</w:t>
            </w:r>
          </w:p>
          <w:p w14:paraId="65EFEFA5" w14:textId="77777777" w:rsidR="00367C11" w:rsidRDefault="00095586" w:rsidP="00367C11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367C11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 Implementarea unui sistem informatizat modern: Adaptarea la tehnologiile moderne prin utilizarea unui sistem electronic de prelucrare a datelor, care să îmbunătățească eficiența și securitatea proceselor vamale</w:t>
            </w:r>
            <w:r w:rsidR="00367C11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;</w:t>
            </w:r>
          </w:p>
          <w:p w14:paraId="44AEE6F3" w14:textId="14F93546" w:rsidR="00367C11" w:rsidRPr="00367C11" w:rsidRDefault="00095586" w:rsidP="00367C11">
            <w:pPr>
              <w:pStyle w:val="a3"/>
              <w:numPr>
                <w:ilvl w:val="0"/>
                <w:numId w:val="6"/>
              </w:numPr>
              <w:jc w:val="both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367C11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Conformitatea cu legislația națională: Respectarea prevederilor Codului Vamal al Republicii Moldova </w:t>
            </w:r>
            <w:r w:rsidR="00367C11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nr.95/2021.</w:t>
            </w:r>
          </w:p>
        </w:tc>
      </w:tr>
      <w:tr w:rsidR="005826DB" w:rsidRPr="00E50210" w14:paraId="462C0282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F8D98CF" w14:textId="6CCA82BC" w:rsidR="005826DB" w:rsidRPr="00E50210" w:rsidRDefault="00A76035" w:rsidP="00E50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3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.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Principalele prevederi ale proiectului </w:t>
            </w:r>
            <w:proofErr w:type="spellStart"/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şi</w:t>
            </w:r>
            <w:proofErr w:type="spellEnd"/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</w:t>
            </w:r>
            <w:r w:rsidR="00E50210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evidențierea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elementelor noi </w:t>
            </w:r>
          </w:p>
        </w:tc>
      </w:tr>
      <w:tr w:rsidR="005826DB" w:rsidRPr="00E50210" w14:paraId="3D00AA5F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E15BABB" w14:textId="77777777" w:rsidR="001E4E99" w:rsidRPr="00EE5C43" w:rsidRDefault="001E4E99" w:rsidP="001E4E99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EE5C4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ro-RO"/>
              </w:rPr>
              <w:t xml:space="preserve">Principalele prevederi: </w:t>
            </w:r>
          </w:p>
          <w:p w14:paraId="58B3725D" w14:textId="2CDE4D6E" w:rsidR="00095586" w:rsidRDefault="00095586" w:rsidP="001E4E99">
            <w:pPr>
              <w:pStyle w:val="a3"/>
              <w:numPr>
                <w:ilvl w:val="0"/>
                <w:numId w:val="5"/>
              </w:numPr>
              <w:ind w:left="756" w:hanging="426"/>
              <w:jc w:val="both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1E4E99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Aprobarea cerințelor privind conținutul și formatul datelor pentru declarația de tranzit.</w:t>
            </w:r>
          </w:p>
          <w:p w14:paraId="0B9FFAA5" w14:textId="77777777" w:rsidR="00095586" w:rsidRDefault="00095586" w:rsidP="001E4E99">
            <w:pPr>
              <w:pStyle w:val="a3"/>
              <w:numPr>
                <w:ilvl w:val="0"/>
                <w:numId w:val="5"/>
              </w:numPr>
              <w:ind w:left="756" w:hanging="426"/>
              <w:jc w:val="both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1E4E99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Cerințele de date pentru documentul de însoțire a tranzitului.</w:t>
            </w:r>
          </w:p>
          <w:p w14:paraId="395CC2F0" w14:textId="77777777" w:rsidR="00095586" w:rsidRPr="001E4E99" w:rsidRDefault="00095586" w:rsidP="001E4E99">
            <w:pPr>
              <w:pStyle w:val="a3"/>
              <w:numPr>
                <w:ilvl w:val="0"/>
                <w:numId w:val="5"/>
              </w:numPr>
              <w:ind w:left="756" w:hanging="426"/>
              <w:jc w:val="both"/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1E4E99">
              <w:rPr>
                <w:color w:val="000000"/>
                <w:sz w:val="26"/>
                <w:szCs w:val="26"/>
                <w:shd w:val="clear" w:color="auto" w:fill="FFFFFF"/>
                <w:lang w:val="ro-RO"/>
              </w:rPr>
              <w:t>Cerințele de date pentru lista de articole.</w:t>
            </w:r>
          </w:p>
          <w:p w14:paraId="71828179" w14:textId="77777777" w:rsidR="00095586" w:rsidRPr="00EE5C43" w:rsidRDefault="00095586" w:rsidP="001E4E99">
            <w:pPr>
              <w:spacing w:after="0" w:line="240" w:lineRule="auto"/>
              <w:ind w:firstLine="614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ro-RO"/>
              </w:rPr>
            </w:pPr>
            <w:r w:rsidRPr="00EE5C43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val="ro-RO"/>
              </w:rPr>
              <w:t>Elemente noi:</w:t>
            </w:r>
          </w:p>
          <w:p w14:paraId="51649A13" w14:textId="3B25E12D" w:rsidR="00367C11" w:rsidRDefault="00367C11" w:rsidP="001E4E99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Reglementarea setului de date ce constituie declarația de tranzit cu efect juridic</w:t>
            </w:r>
          </w:p>
          <w:p w14:paraId="49BCC8E5" w14:textId="4C18292E" w:rsidR="00367C11" w:rsidRDefault="00367C11" w:rsidP="001E4E99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Delimitarea setului de date la nivel de trimitere de principală, trimitere de casă și la nivel de articol.</w:t>
            </w:r>
          </w:p>
          <w:p w14:paraId="40358AD8" w14:textId="3EA136B6" w:rsidR="00095586" w:rsidRDefault="001E4E99" w:rsidP="001E4E99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ro-RO"/>
              </w:rPr>
            </w:pPr>
            <w:r w:rsidRPr="001E4E99">
              <w:rPr>
                <w:sz w:val="26"/>
                <w:szCs w:val="26"/>
                <w:lang w:val="ro-RO"/>
              </w:rPr>
              <w:lastRenderedPageBreak/>
              <w:t xml:space="preserve">Implementarea unui sistem informatizat modern </w:t>
            </w:r>
            <w:r w:rsidR="00367C11">
              <w:rPr>
                <w:sz w:val="26"/>
                <w:szCs w:val="26"/>
                <w:lang w:val="ro-RO"/>
              </w:rPr>
              <w:t xml:space="preserve">compatibil cu funcționalitățile tehnice ale sistemului transeuropean de tranzit, care este aplicat de țările membre ale Uniunii Europene și ale Convenției privind regimul de tranzit comun, încheiată la </w:t>
            </w:r>
            <w:proofErr w:type="spellStart"/>
            <w:r w:rsidR="00367C11">
              <w:rPr>
                <w:sz w:val="26"/>
                <w:szCs w:val="26"/>
                <w:lang w:val="ro-RO"/>
              </w:rPr>
              <w:t>Interlaken</w:t>
            </w:r>
            <w:proofErr w:type="spellEnd"/>
            <w:r w:rsidR="00367C11">
              <w:rPr>
                <w:sz w:val="26"/>
                <w:szCs w:val="26"/>
                <w:lang w:val="ro-RO"/>
              </w:rPr>
              <w:t xml:space="preserve"> 1987</w:t>
            </w:r>
            <w:r>
              <w:rPr>
                <w:sz w:val="26"/>
                <w:szCs w:val="26"/>
                <w:lang w:val="ro-RO"/>
              </w:rPr>
              <w:t>;</w:t>
            </w:r>
          </w:p>
          <w:p w14:paraId="5ABFC1AB" w14:textId="0975977D" w:rsidR="001E4E99" w:rsidRDefault="001E4E99" w:rsidP="001E4E99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ro-RO"/>
              </w:rPr>
            </w:pPr>
            <w:r w:rsidRPr="001E4E99">
              <w:rPr>
                <w:sz w:val="26"/>
                <w:szCs w:val="26"/>
                <w:lang w:val="ro-RO"/>
              </w:rPr>
              <w:t>Codificarea detaliată a tipurilor de garanții și autorizații</w:t>
            </w:r>
            <w:r>
              <w:rPr>
                <w:sz w:val="26"/>
                <w:szCs w:val="26"/>
                <w:lang w:val="ro-RO"/>
              </w:rPr>
              <w:t>;</w:t>
            </w:r>
          </w:p>
          <w:p w14:paraId="785562E4" w14:textId="77777777" w:rsidR="001E4E99" w:rsidRDefault="001E4E99" w:rsidP="001E4E99">
            <w:pPr>
              <w:pStyle w:val="a3"/>
              <w:numPr>
                <w:ilvl w:val="0"/>
                <w:numId w:val="4"/>
              </w:numPr>
              <w:jc w:val="both"/>
              <w:rPr>
                <w:sz w:val="26"/>
                <w:szCs w:val="26"/>
                <w:lang w:val="ro-RO"/>
              </w:rPr>
            </w:pPr>
            <w:r w:rsidRPr="001E4E99">
              <w:rPr>
                <w:sz w:val="26"/>
                <w:szCs w:val="26"/>
                <w:lang w:val="ro-RO"/>
              </w:rPr>
              <w:t>Precizări suplimentare privind unitățile de măsură și ambalarea mărfurilor</w:t>
            </w:r>
            <w:r>
              <w:rPr>
                <w:sz w:val="26"/>
                <w:szCs w:val="26"/>
                <w:lang w:val="ro-RO"/>
              </w:rPr>
              <w:t>;</w:t>
            </w:r>
          </w:p>
          <w:p w14:paraId="6841BD1B" w14:textId="6856E578" w:rsidR="001E4E99" w:rsidRPr="001E4E99" w:rsidRDefault="001E4E99" w:rsidP="00EE5C43">
            <w:pPr>
              <w:pStyle w:val="a3"/>
              <w:numPr>
                <w:ilvl w:val="0"/>
                <w:numId w:val="4"/>
              </w:numPr>
              <w:ind w:left="0" w:firstLine="360"/>
              <w:jc w:val="both"/>
              <w:rPr>
                <w:sz w:val="26"/>
                <w:szCs w:val="26"/>
                <w:lang w:val="ro-RO"/>
              </w:rPr>
            </w:pPr>
            <w:r w:rsidRPr="001E4E99">
              <w:rPr>
                <w:sz w:val="26"/>
                <w:szCs w:val="26"/>
                <w:lang w:val="ro-RO"/>
              </w:rPr>
              <w:t>Sunt clarificate formatele și limitele de cardinalitate pentru diferite elemente de date, cum ar fi masa netă a mărfurilor, numerele de identificare ale mijloacelor de transport și alte detalii esențiale pentru completarea declarațiilor vamale</w:t>
            </w:r>
            <w:r>
              <w:rPr>
                <w:sz w:val="26"/>
                <w:szCs w:val="26"/>
                <w:lang w:val="ro-RO"/>
              </w:rPr>
              <w:t>.</w:t>
            </w:r>
          </w:p>
        </w:tc>
      </w:tr>
      <w:tr w:rsidR="005826DB" w:rsidRPr="00E50210" w14:paraId="323426C2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D94D820" w14:textId="5DDAA1AB" w:rsidR="005826DB" w:rsidRPr="00E50210" w:rsidRDefault="00452DDE" w:rsidP="00E5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lastRenderedPageBreak/>
              <w:t>4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.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Fundamentarea </w:t>
            </w:r>
            <w:proofErr w:type="spellStart"/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economico</w:t>
            </w:r>
            <w:proofErr w:type="spellEnd"/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-financiară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5826DB" w:rsidRPr="00E50210" w14:paraId="7364D4BF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5BF9FDE" w14:textId="77777777" w:rsidR="005826DB" w:rsidRPr="00E50210" w:rsidRDefault="00AC1FA4" w:rsidP="001E54FD">
            <w:pPr>
              <w:spacing w:after="0" w:line="240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Proiectul de ordin </w:t>
            </w:r>
            <w:r w:rsidR="001E54FD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nu 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necesit</w:t>
            </w:r>
            <w:r w:rsidR="001E54FD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ă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cheltuieli financiare </w:t>
            </w:r>
            <w:proofErr w:type="spellStart"/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şi</w:t>
            </w:r>
            <w:proofErr w:type="spellEnd"/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 xml:space="preserve"> alocarea mijloacelor financiare din bugetul de stat.</w:t>
            </w:r>
          </w:p>
        </w:tc>
      </w:tr>
      <w:tr w:rsidR="005826DB" w:rsidRPr="00E50210" w14:paraId="5D038F9B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7E42A010" w14:textId="7D286332" w:rsidR="005826DB" w:rsidRPr="00E50210" w:rsidRDefault="00452DDE" w:rsidP="00E5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5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.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Modul de încorporare a actului în cadrul normativ în vigoare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5826DB" w:rsidRPr="00E50210" w14:paraId="2BBD8BE4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6CA908A5" w14:textId="77777777" w:rsidR="005826DB" w:rsidRPr="00E50210" w:rsidRDefault="005826DB" w:rsidP="001E54FD">
            <w:pPr>
              <w:spacing w:after="0" w:line="240" w:lineRule="auto"/>
              <w:ind w:firstLine="6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E50210">
              <w:rPr>
                <w:rFonts w:ascii="Times New Roman" w:hAnsi="Times New Roman" w:cs="Times New Roman"/>
                <w:sz w:val="26"/>
                <w:szCs w:val="26"/>
                <w:lang w:val="ro-RO"/>
              </w:rPr>
              <w:t>Nu este necesar de modificat sau abrogat careva acte normative.</w:t>
            </w:r>
          </w:p>
        </w:tc>
      </w:tr>
      <w:tr w:rsidR="000F7CC8" w:rsidRPr="00E50210" w14:paraId="715E1323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AC7DAD" w14:textId="6BB4CF6F" w:rsidR="000F7CC8" w:rsidRPr="00E50210" w:rsidRDefault="00452DDE" w:rsidP="00E50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6</w:t>
            </w:r>
            <w:r w:rsidR="000F7CC8" w:rsidRPr="00E50210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o-RO"/>
              </w:rPr>
              <w:t>.</w:t>
            </w:r>
            <w:r w:rsidR="000F7CC8" w:rsidRPr="00E5021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Avizarea </w:t>
            </w:r>
            <w:proofErr w:type="spellStart"/>
            <w:r w:rsidR="000F7CC8" w:rsidRPr="00E5021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>şi</w:t>
            </w:r>
            <w:proofErr w:type="spellEnd"/>
            <w:r w:rsidR="000F7CC8" w:rsidRPr="00E50210">
              <w:rPr>
                <w:rFonts w:ascii="Times New Roman" w:hAnsi="Times New Roman" w:cs="Times New Roman"/>
                <w:b/>
                <w:sz w:val="26"/>
                <w:szCs w:val="26"/>
                <w:lang w:val="ro-RO"/>
              </w:rPr>
              <w:t xml:space="preserve"> consultarea publică a proiectului</w:t>
            </w:r>
          </w:p>
        </w:tc>
      </w:tr>
      <w:tr w:rsidR="000F7CC8" w:rsidRPr="00E50210" w14:paraId="594E17CA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24EEFB0" w14:textId="6B8A96B6" w:rsidR="002636B4" w:rsidRPr="00D92C85" w:rsidRDefault="00D92C85" w:rsidP="001E4E99">
            <w:pPr>
              <w:spacing w:after="0" w:line="240" w:lineRule="auto"/>
              <w:ind w:firstLine="604"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val="ro-RO"/>
              </w:rPr>
            </w:pPr>
            <w:r w:rsidRPr="00A3319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În conformitate cu Legea nr.239/2008 privind transparența în procesul decizional proiectul de ordin </w:t>
            </w:r>
            <w:r w:rsidR="00DA4A7E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este</w:t>
            </w:r>
            <w:r w:rsidRPr="00A3319C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 xml:space="preserve"> supus consultărilor publice, prin anunțul de publicare pe pagina web a Serviciului Vamal, rubrica „Consultări publice”</w:t>
            </w:r>
            <w:r w:rsidR="0079682E">
              <w:rPr>
                <w:rFonts w:ascii="Times New Roman" w:eastAsia="Calibri" w:hAnsi="Times New Roman" w:cs="Times New Roman"/>
                <w:sz w:val="26"/>
                <w:szCs w:val="26"/>
                <w:lang w:val="ro-RO"/>
              </w:rPr>
              <w:t>.</w:t>
            </w:r>
          </w:p>
        </w:tc>
      </w:tr>
      <w:tr w:rsidR="005826DB" w:rsidRPr="00E50210" w14:paraId="51790DCA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3F38D1B" w14:textId="550603E7" w:rsidR="005826DB" w:rsidRPr="00E50210" w:rsidRDefault="00452DDE" w:rsidP="00E5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7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.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 xml:space="preserve"> Constatările expertizei </w:t>
            </w:r>
            <w:r w:rsidR="0038268D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anticorupție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5826DB" w:rsidRPr="00E50210" w14:paraId="698519CF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2C12D514" w14:textId="77777777" w:rsidR="005826DB" w:rsidRPr="00E50210" w:rsidRDefault="005826DB" w:rsidP="00E50210">
            <w:pPr>
              <w:spacing w:after="0" w:line="240" w:lineRule="auto"/>
              <w:ind w:firstLine="6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  <w:t>Nu este necesar</w:t>
            </w:r>
          </w:p>
        </w:tc>
      </w:tr>
      <w:tr w:rsidR="005826DB" w:rsidRPr="00E50210" w14:paraId="43EDD433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323C0739" w14:textId="75FE9A46" w:rsidR="005826DB" w:rsidRPr="00E50210" w:rsidRDefault="00452DDE" w:rsidP="00E5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8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.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Constatările expertizei juridice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5826DB" w:rsidRPr="00E50210" w14:paraId="35232250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598DEF53" w14:textId="0D5A5064" w:rsidR="00A3319C" w:rsidRPr="00065BAE" w:rsidRDefault="00377677" w:rsidP="00065BAE">
            <w:pPr>
              <w:pStyle w:val="a3"/>
              <w:tabs>
                <w:tab w:val="left" w:pos="269"/>
              </w:tabs>
              <w:ind w:left="0" w:firstLine="604"/>
              <w:jc w:val="both"/>
              <w:rPr>
                <w:sz w:val="26"/>
                <w:szCs w:val="26"/>
                <w:lang w:val="ro-RO"/>
              </w:rPr>
            </w:pPr>
            <w:r>
              <w:rPr>
                <w:sz w:val="26"/>
                <w:szCs w:val="26"/>
                <w:lang w:val="ro-RO"/>
              </w:rPr>
              <w:t>Nu este necesar</w:t>
            </w:r>
          </w:p>
        </w:tc>
      </w:tr>
      <w:tr w:rsidR="005826DB" w:rsidRPr="00E50210" w14:paraId="27D7348B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1FE824C4" w14:textId="18A811B7" w:rsidR="005826DB" w:rsidRPr="00E50210" w:rsidRDefault="00452DDE" w:rsidP="00E5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9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o-RO" w:eastAsia="ro-RO"/>
              </w:rPr>
              <w:t>.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  <w:r w:rsidR="005826DB" w:rsidRPr="00E5021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 w:eastAsia="ro-RO"/>
              </w:rPr>
              <w:t>Constatările altor expertize</w:t>
            </w:r>
            <w:r w:rsidR="005826DB" w:rsidRPr="00E50210"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 xml:space="preserve"> </w:t>
            </w:r>
          </w:p>
        </w:tc>
      </w:tr>
      <w:tr w:rsidR="005826DB" w:rsidRPr="00E50210" w14:paraId="6804E743" w14:textId="77777777" w:rsidTr="00A76035">
        <w:trPr>
          <w:tblCellSpacing w:w="15" w:type="dxa"/>
        </w:trPr>
        <w:tc>
          <w:tcPr>
            <w:tcW w:w="4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14:paraId="06077AF6" w14:textId="77777777" w:rsidR="00D92C85" w:rsidRPr="00E50210" w:rsidRDefault="00A3319C" w:rsidP="00D92C85">
            <w:pPr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o-RO" w:eastAsia="ro-RO"/>
              </w:rPr>
              <w:t>Nu este necesar</w:t>
            </w:r>
          </w:p>
        </w:tc>
      </w:tr>
    </w:tbl>
    <w:p w14:paraId="1F28E283" w14:textId="77777777" w:rsidR="005826DB" w:rsidRPr="00E50210" w:rsidRDefault="005826DB" w:rsidP="00E50210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7E868803" w14:textId="77777777" w:rsidR="005826DB" w:rsidRPr="00E50210" w:rsidRDefault="005826DB" w:rsidP="00E50210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p w14:paraId="0228E0FF" w14:textId="77777777" w:rsidR="00367C11" w:rsidRDefault="00367C11" w:rsidP="00E50210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Șef adjunct</w:t>
      </w:r>
    </w:p>
    <w:p w14:paraId="385DF1A5" w14:textId="205EA938" w:rsidR="00367C11" w:rsidRDefault="00367C11" w:rsidP="00E50210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Departamentul venituri și control vamal</w:t>
      </w:r>
      <w:r w:rsidR="00D92C8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Viorel DOAGĂ</w:t>
      </w:r>
      <w:r w:rsidR="00D92C85">
        <w:rPr>
          <w:rFonts w:ascii="Times New Roman" w:hAnsi="Times New Roman" w:cs="Times New Roman"/>
          <w:b/>
          <w:sz w:val="26"/>
          <w:szCs w:val="26"/>
          <w:lang w:val="ro-RO"/>
        </w:rPr>
        <w:t xml:space="preserve">                                                                                                </w:t>
      </w:r>
    </w:p>
    <w:p w14:paraId="7569C050" w14:textId="77777777" w:rsidR="00367C11" w:rsidRDefault="00367C11" w:rsidP="00E50210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14:paraId="0A1CE5C9" w14:textId="6A8E9CBD" w:rsidR="0046459E" w:rsidRPr="00E50210" w:rsidRDefault="0046459E" w:rsidP="00E50210">
      <w:pPr>
        <w:spacing w:line="240" w:lineRule="auto"/>
        <w:rPr>
          <w:rFonts w:ascii="Times New Roman" w:hAnsi="Times New Roman" w:cs="Times New Roman"/>
          <w:sz w:val="26"/>
          <w:szCs w:val="26"/>
          <w:lang w:val="ro-RO"/>
        </w:rPr>
      </w:pPr>
    </w:p>
    <w:sectPr w:rsidR="0046459E" w:rsidRPr="00E50210" w:rsidSect="00E50210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3112"/>
      </v:shape>
    </w:pict>
  </w:numPicBullet>
  <w:abstractNum w:abstractNumId="0" w15:restartNumberingAfterBreak="0">
    <w:nsid w:val="34456EF1"/>
    <w:multiLevelType w:val="hybridMultilevel"/>
    <w:tmpl w:val="B8681D5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9410D"/>
    <w:multiLevelType w:val="hybridMultilevel"/>
    <w:tmpl w:val="662C141C"/>
    <w:lvl w:ilvl="0" w:tplc="E60E64DA">
      <w:start w:val="4"/>
      <w:numFmt w:val="bullet"/>
      <w:lvlText w:val="-"/>
      <w:lvlJc w:val="left"/>
      <w:pPr>
        <w:ind w:left="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" w15:restartNumberingAfterBreak="0">
    <w:nsid w:val="3E1E36AD"/>
    <w:multiLevelType w:val="hybridMultilevel"/>
    <w:tmpl w:val="A46EB714"/>
    <w:lvl w:ilvl="0" w:tplc="F4F04B2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E4A2F"/>
    <w:multiLevelType w:val="hybridMultilevel"/>
    <w:tmpl w:val="B966F87E"/>
    <w:lvl w:ilvl="0" w:tplc="088E7EE0">
      <w:start w:val="3"/>
      <w:numFmt w:val="bullet"/>
      <w:lvlText w:val="-"/>
      <w:lvlJc w:val="left"/>
      <w:pPr>
        <w:ind w:left="974" w:hanging="360"/>
      </w:pPr>
      <w:rPr>
        <w:rFonts w:ascii="Times New Roman" w:eastAsiaTheme="minorHAnsi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 w15:restartNumberingAfterBreak="0">
    <w:nsid w:val="420619AE"/>
    <w:multiLevelType w:val="hybridMultilevel"/>
    <w:tmpl w:val="00C6FC54"/>
    <w:lvl w:ilvl="0" w:tplc="FE9C42B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94" w:hanging="360"/>
      </w:pPr>
    </w:lvl>
    <w:lvl w:ilvl="2" w:tplc="0418001B" w:tentative="1">
      <w:start w:val="1"/>
      <w:numFmt w:val="lowerRoman"/>
      <w:lvlText w:val="%3."/>
      <w:lvlJc w:val="right"/>
      <w:pPr>
        <w:ind w:left="2414" w:hanging="180"/>
      </w:pPr>
    </w:lvl>
    <w:lvl w:ilvl="3" w:tplc="0418000F" w:tentative="1">
      <w:start w:val="1"/>
      <w:numFmt w:val="decimal"/>
      <w:lvlText w:val="%4."/>
      <w:lvlJc w:val="left"/>
      <w:pPr>
        <w:ind w:left="3134" w:hanging="360"/>
      </w:pPr>
    </w:lvl>
    <w:lvl w:ilvl="4" w:tplc="04180019" w:tentative="1">
      <w:start w:val="1"/>
      <w:numFmt w:val="lowerLetter"/>
      <w:lvlText w:val="%5."/>
      <w:lvlJc w:val="left"/>
      <w:pPr>
        <w:ind w:left="3854" w:hanging="360"/>
      </w:pPr>
    </w:lvl>
    <w:lvl w:ilvl="5" w:tplc="0418001B" w:tentative="1">
      <w:start w:val="1"/>
      <w:numFmt w:val="lowerRoman"/>
      <w:lvlText w:val="%6."/>
      <w:lvlJc w:val="right"/>
      <w:pPr>
        <w:ind w:left="4574" w:hanging="180"/>
      </w:pPr>
    </w:lvl>
    <w:lvl w:ilvl="6" w:tplc="0418000F" w:tentative="1">
      <w:start w:val="1"/>
      <w:numFmt w:val="decimal"/>
      <w:lvlText w:val="%7."/>
      <w:lvlJc w:val="left"/>
      <w:pPr>
        <w:ind w:left="5294" w:hanging="360"/>
      </w:pPr>
    </w:lvl>
    <w:lvl w:ilvl="7" w:tplc="04180019" w:tentative="1">
      <w:start w:val="1"/>
      <w:numFmt w:val="lowerLetter"/>
      <w:lvlText w:val="%8."/>
      <w:lvlJc w:val="left"/>
      <w:pPr>
        <w:ind w:left="6014" w:hanging="360"/>
      </w:pPr>
    </w:lvl>
    <w:lvl w:ilvl="8" w:tplc="0418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5" w15:restartNumberingAfterBreak="0">
    <w:nsid w:val="63463E86"/>
    <w:multiLevelType w:val="hybridMultilevel"/>
    <w:tmpl w:val="BE044FD8"/>
    <w:lvl w:ilvl="0" w:tplc="08190007">
      <w:start w:val="1"/>
      <w:numFmt w:val="bullet"/>
      <w:lvlText w:val=""/>
      <w:lvlPicBulletId w:val="0"/>
      <w:lvlJc w:val="left"/>
      <w:pPr>
        <w:ind w:left="1334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243"/>
    <w:rsid w:val="000045CA"/>
    <w:rsid w:val="0001479E"/>
    <w:rsid w:val="00041CCD"/>
    <w:rsid w:val="00065BAE"/>
    <w:rsid w:val="00095586"/>
    <w:rsid w:val="000A4672"/>
    <w:rsid w:val="000F7CC8"/>
    <w:rsid w:val="00144D65"/>
    <w:rsid w:val="001E4E99"/>
    <w:rsid w:val="001E54FD"/>
    <w:rsid w:val="001F737D"/>
    <w:rsid w:val="002636B4"/>
    <w:rsid w:val="002726B2"/>
    <w:rsid w:val="00297E8B"/>
    <w:rsid w:val="002E2FA8"/>
    <w:rsid w:val="00367C11"/>
    <w:rsid w:val="00377677"/>
    <w:rsid w:val="0038268D"/>
    <w:rsid w:val="003845C7"/>
    <w:rsid w:val="003919A3"/>
    <w:rsid w:val="003C42B0"/>
    <w:rsid w:val="00401BC9"/>
    <w:rsid w:val="00423014"/>
    <w:rsid w:val="00452DDE"/>
    <w:rsid w:val="0046459E"/>
    <w:rsid w:val="00470CD2"/>
    <w:rsid w:val="005172E8"/>
    <w:rsid w:val="00566615"/>
    <w:rsid w:val="005826DB"/>
    <w:rsid w:val="005B571D"/>
    <w:rsid w:val="005D587E"/>
    <w:rsid w:val="005F08F7"/>
    <w:rsid w:val="006574E9"/>
    <w:rsid w:val="00664F34"/>
    <w:rsid w:val="007857BC"/>
    <w:rsid w:val="00790B39"/>
    <w:rsid w:val="0079682E"/>
    <w:rsid w:val="007D3694"/>
    <w:rsid w:val="007D5482"/>
    <w:rsid w:val="007E6D57"/>
    <w:rsid w:val="00813067"/>
    <w:rsid w:val="00853249"/>
    <w:rsid w:val="008542E0"/>
    <w:rsid w:val="00880F7A"/>
    <w:rsid w:val="00882318"/>
    <w:rsid w:val="008F72B7"/>
    <w:rsid w:val="00947332"/>
    <w:rsid w:val="0096377B"/>
    <w:rsid w:val="009A7C79"/>
    <w:rsid w:val="009F3E9B"/>
    <w:rsid w:val="00A15024"/>
    <w:rsid w:val="00A3319C"/>
    <w:rsid w:val="00A4150F"/>
    <w:rsid w:val="00A76035"/>
    <w:rsid w:val="00AB340F"/>
    <w:rsid w:val="00AB5243"/>
    <w:rsid w:val="00AC1FA4"/>
    <w:rsid w:val="00B52599"/>
    <w:rsid w:val="00C01425"/>
    <w:rsid w:val="00C55594"/>
    <w:rsid w:val="00C76CDB"/>
    <w:rsid w:val="00CD35CA"/>
    <w:rsid w:val="00CE75F1"/>
    <w:rsid w:val="00D00F92"/>
    <w:rsid w:val="00D07046"/>
    <w:rsid w:val="00D123C6"/>
    <w:rsid w:val="00D67702"/>
    <w:rsid w:val="00D8446F"/>
    <w:rsid w:val="00D870B7"/>
    <w:rsid w:val="00D92C85"/>
    <w:rsid w:val="00DA4A7E"/>
    <w:rsid w:val="00DD4B5F"/>
    <w:rsid w:val="00E17FE8"/>
    <w:rsid w:val="00E50210"/>
    <w:rsid w:val="00E849D6"/>
    <w:rsid w:val="00EB59AC"/>
    <w:rsid w:val="00EE5C43"/>
    <w:rsid w:val="00EF4D39"/>
    <w:rsid w:val="00F1243D"/>
    <w:rsid w:val="00FC4DC0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E252"/>
  <w15:chartTrackingRefBased/>
  <w15:docId w15:val="{7E29304F-EBB9-4467-98C9-45C8FA2B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DB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8"/>
      <w:szCs w:val="20"/>
      <w:lang w:eastAsia="ru-RU"/>
    </w:rPr>
  </w:style>
  <w:style w:type="paragraph" w:customStyle="1" w:styleId="cb">
    <w:name w:val="cb"/>
    <w:basedOn w:val="a"/>
    <w:rsid w:val="005826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a4">
    <w:name w:val="header"/>
    <w:basedOn w:val="a"/>
    <w:link w:val="a5"/>
    <w:uiPriority w:val="99"/>
    <w:unhideWhenUsed/>
    <w:rsid w:val="00A15024"/>
    <w:pPr>
      <w:tabs>
        <w:tab w:val="center" w:pos="4844"/>
        <w:tab w:val="right" w:pos="9689"/>
      </w:tabs>
      <w:spacing w:after="0" w:line="240" w:lineRule="auto"/>
    </w:pPr>
    <w:rPr>
      <w:lang w:val="ro-RO"/>
    </w:rPr>
  </w:style>
  <w:style w:type="character" w:customStyle="1" w:styleId="a5">
    <w:name w:val="Верхний колонтитул Знак"/>
    <w:basedOn w:val="a0"/>
    <w:link w:val="a4"/>
    <w:uiPriority w:val="99"/>
    <w:rsid w:val="00A15024"/>
    <w:rPr>
      <w:lang w:val="ro-RO"/>
    </w:rPr>
  </w:style>
  <w:style w:type="paragraph" w:styleId="a6">
    <w:name w:val="Balloon Text"/>
    <w:basedOn w:val="a"/>
    <w:link w:val="a7"/>
    <w:uiPriority w:val="99"/>
    <w:semiHidden/>
    <w:unhideWhenUsed/>
    <w:rsid w:val="00A4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50F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D8446F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Cojocari Rodica</dc:creator>
  <cp:keywords/>
  <dc:description/>
  <cp:lastModifiedBy>Cojocari Rodica</cp:lastModifiedBy>
  <cp:revision>2</cp:revision>
  <cp:lastPrinted>2023-07-20T13:07:00Z</cp:lastPrinted>
  <dcterms:created xsi:type="dcterms:W3CDTF">2024-06-19T04:43:00Z</dcterms:created>
  <dcterms:modified xsi:type="dcterms:W3CDTF">2024-06-19T04:43:00Z</dcterms:modified>
</cp:coreProperties>
</file>