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B1BDED">
      <w:pPr>
        <w:spacing w:after="120" w:line="240" w:lineRule="auto"/>
        <w:jc w:val="center"/>
        <w:rPr>
          <w:rFonts w:ascii="Times New Roman" w:hAnsi="Times New Roman" w:cs="Times New Roman"/>
          <w:b/>
          <w:sz w:val="24"/>
          <w:szCs w:val="24"/>
        </w:rPr>
      </w:pPr>
      <w:r>
        <w:rPr>
          <w:rFonts w:hint="default" w:ascii="Times New Roman" w:hAnsi="Times New Roman" w:cs="Times New Roman"/>
          <w:b/>
          <w:sz w:val="24"/>
          <w:szCs w:val="24"/>
          <w:lang w:val="ro-RO"/>
        </w:rPr>
        <w:t>Republica Moldova</w:t>
      </w:r>
    </w:p>
    <w:p w14:paraId="62C52E7D">
      <w:pPr>
        <w:pStyle w:val="54"/>
        <w:spacing w:after="120" w:line="240" w:lineRule="auto"/>
        <w:jc w:val="center"/>
        <w:rPr>
          <w:rFonts w:ascii="Times New Roman" w:hAnsi="Times New Roman" w:cs="Times New Roman"/>
          <w:b/>
          <w:sz w:val="24"/>
          <w:szCs w:val="24"/>
        </w:rPr>
      </w:pPr>
      <w:r>
        <w:t xml:space="preserve">Ministerul Finanțelor </w:t>
      </w:r>
    </w:p>
    <w:p w14:paraId="4690170F">
      <w:pPr>
        <w:pStyle w:val="54"/>
        <w:spacing w:line="276" w:lineRule="auto"/>
        <w:jc w:val="center"/>
        <w:rPr>
          <w:rFonts w:ascii="Times New Roman" w:hAnsi="Times New Roman" w:cs="Times New Roman"/>
          <w:b/>
          <w:sz w:val="24"/>
          <w:szCs w:val="24"/>
        </w:rPr>
      </w:pPr>
      <w:r>
        <w:t>Serviciul Vamal al Republicii Moldova</w:t>
      </w:r>
    </w:p>
    <w:p w14:paraId="7FDDC82A">
      <w:pPr>
        <w:pStyle w:val="54"/>
        <w:spacing w:line="276" w:lineRule="auto"/>
        <w:jc w:val="center"/>
        <w:rPr>
          <w:rFonts w:ascii="Times New Roman" w:hAnsi="Times New Roman" w:cs="Times New Roman"/>
          <w:b/>
          <w:sz w:val="24"/>
          <w:szCs w:val="24"/>
        </w:rPr>
      </w:pPr>
      <w:r>
        <w:t>Proiectul Conectivitate Rurală Moldova (P180153)</w:t>
      </w:r>
    </w:p>
    <w:p w14:paraId="5946D768">
      <w:pPr>
        <w:pStyle w:val="54"/>
        <w:spacing w:line="276" w:lineRule="auto"/>
        <w:jc w:val="center"/>
        <w:rPr>
          <w:rFonts w:ascii="Times New Roman" w:hAnsi="Times New Roman" w:cs="Times New Roman"/>
          <w:b/>
          <w:iCs/>
          <w:sz w:val="24"/>
          <w:szCs w:val="24"/>
        </w:rPr>
      </w:pPr>
      <w:r>
        <w:t>Componenta B: Facilitarea comerțului și extinderea culoarelor de solidaritate</w:t>
      </w:r>
    </w:p>
    <w:p w14:paraId="20D16980">
      <w:pPr>
        <w:spacing w:line="276" w:lineRule="auto"/>
        <w:rPr>
          <w:rFonts w:ascii="Times New Roman" w:hAnsi="Times New Roman" w:cs="Times New Roman"/>
        </w:rPr>
      </w:pPr>
    </w:p>
    <w:p w14:paraId="1CC91F2E">
      <w:pPr>
        <w:spacing w:line="276" w:lineRule="auto"/>
        <w:rPr>
          <w:rFonts w:ascii="Times New Roman" w:hAnsi="Times New Roman" w:cs="Times New Roman"/>
        </w:rPr>
      </w:pPr>
    </w:p>
    <w:p w14:paraId="6ABDECB8">
      <w:pPr>
        <w:spacing w:line="276" w:lineRule="auto"/>
        <w:rPr>
          <w:rFonts w:ascii="Times New Roman" w:hAnsi="Times New Roman" w:cs="Times New Roman"/>
          <w:sz w:val="28"/>
          <w:szCs w:val="28"/>
        </w:rPr>
      </w:pPr>
    </w:p>
    <w:p w14:paraId="5BC12AC7">
      <w:pPr>
        <w:pStyle w:val="55"/>
        <w:jc w:val="center"/>
        <w:rPr>
          <w:rFonts w:hint="default" w:ascii="Times New Roman" w:hAnsi="Times New Roman" w:eastAsia="Times New Roman" w:cs="Times New Roman"/>
          <w:b/>
          <w:bCs/>
          <w:caps/>
          <w:lang w:val="ro-RO"/>
        </w:rPr>
      </w:pPr>
      <w:r>
        <w:t xml:space="preserve">Specific </w:t>
      </w:r>
      <w:r>
        <w:rPr>
          <w:rFonts w:hint="default"/>
          <w:lang w:val="ro-RO"/>
        </w:rPr>
        <w:t>AMPLASAMENTULUI</w:t>
      </w:r>
    </w:p>
    <w:p w14:paraId="20FCF675">
      <w:pPr>
        <w:pStyle w:val="55"/>
        <w:jc w:val="center"/>
        <w:rPr>
          <w:rFonts w:ascii="Times New Roman" w:hAnsi="Times New Roman" w:eastAsia="Times New Roman" w:cs="Times New Roman"/>
          <w:b/>
          <w:bCs/>
          <w:caps/>
        </w:rPr>
      </w:pPr>
      <w:r>
        <w:t>Plan</w:t>
      </w:r>
      <w:r>
        <w:rPr>
          <w:rFonts w:hint="default"/>
          <w:lang w:val="ro-RO"/>
        </w:rPr>
        <w:t xml:space="preserve">UL DE GESTIONARE </w:t>
      </w:r>
      <w:r>
        <w:t>social</w:t>
      </w:r>
      <w:r>
        <w:rPr>
          <w:rFonts w:hint="default"/>
          <w:lang w:val="ro-RO"/>
        </w:rPr>
        <w:t>Ă</w:t>
      </w:r>
      <w:r>
        <w:t xml:space="preserve"> și de mediu (ESMP)</w:t>
      </w:r>
    </w:p>
    <w:p w14:paraId="53374814">
      <w:pPr>
        <w:pStyle w:val="56"/>
        <w:jc w:val="center"/>
        <w:rPr>
          <w:rFonts w:ascii="Times New Roman" w:hAnsi="Times New Roman" w:eastAsia="Times New Roman" w:cs="Times New Roman"/>
          <w:b/>
          <w:bCs/>
        </w:rPr>
      </w:pPr>
      <w:r>
        <w:rPr>
          <w:caps/>
        </w:rPr>
        <w:t>Listă de verificare</w:t>
      </w:r>
      <w:r>
        <w:t xml:space="preserve"> </w:t>
      </w:r>
    </w:p>
    <w:p w14:paraId="161EFF3B">
      <w:pPr>
        <w:pStyle w:val="56"/>
        <w:jc w:val="center"/>
        <w:rPr>
          <w:rFonts w:ascii="Times New Roman" w:hAnsi="Times New Roman" w:eastAsia="Times New Roman" w:cs="Times New Roman"/>
          <w:b/>
          <w:bCs/>
        </w:rPr>
      </w:pPr>
      <w:r>
        <w:t xml:space="preserve">pentru </w:t>
      </w:r>
    </w:p>
    <w:p w14:paraId="12613FE1">
      <w:pPr>
        <w:pStyle w:val="56"/>
        <w:jc w:val="center"/>
        <w:rPr>
          <w:rFonts w:ascii="Times New Roman" w:hAnsi="Times New Roman" w:eastAsia="Times New Roman" w:cs="Times New Roman"/>
          <w:b/>
          <w:bCs/>
        </w:rPr>
      </w:pPr>
      <w:r>
        <w:t xml:space="preserve">Activități de construcție și reabilitare </w:t>
      </w:r>
    </w:p>
    <w:p w14:paraId="7430488C">
      <w:pPr>
        <w:pStyle w:val="56"/>
        <w:jc w:val="center"/>
      </w:pPr>
      <w:r>
        <w:t>pentru EXTINDEREA</w:t>
      </w:r>
      <w:r>
        <w:rPr>
          <w:rFonts w:hint="default"/>
          <w:lang w:val="ro-RO"/>
        </w:rPr>
        <w:t>/DEZVOLTAREA ZONEI DE CONTROL VAMAL GIURGIULEȘTI EXISTENTE (MD)</w:t>
      </w:r>
    </w:p>
    <w:p w14:paraId="3B390C1F">
      <w:pPr>
        <w:pStyle w:val="57"/>
        <w:spacing w:line="276" w:lineRule="auto"/>
        <w:jc w:val="center"/>
        <w:rPr>
          <w:rFonts w:ascii="Times New Roman" w:hAnsi="Times New Roman" w:cs="Times New Roman"/>
          <w:b/>
          <w:bCs/>
        </w:rPr>
      </w:pPr>
      <w:r>
        <w:t>mai 2025</w:t>
      </w:r>
    </w:p>
    <w:p w14:paraId="1A510D1A">
      <w:pPr>
        <w:spacing w:line="276" w:lineRule="auto"/>
        <w:jc w:val="center"/>
        <w:rPr>
          <w:rFonts w:ascii="Times New Roman" w:hAnsi="Times New Roman" w:cs="Times New Roman"/>
          <w:b/>
        </w:rPr>
      </w:pPr>
    </w:p>
    <w:p w14:paraId="32707031">
      <w:pPr>
        <w:spacing w:line="276" w:lineRule="auto"/>
        <w:jc w:val="center"/>
        <w:rPr>
          <w:rFonts w:ascii="Times New Roman" w:hAnsi="Times New Roman" w:cs="Times New Roman"/>
          <w:b/>
        </w:rPr>
      </w:pPr>
    </w:p>
    <w:p w14:paraId="1E8CE829">
      <w:pPr>
        <w:spacing w:line="276" w:lineRule="auto"/>
        <w:jc w:val="center"/>
        <w:rPr>
          <w:rFonts w:ascii="Times New Roman" w:hAnsi="Times New Roman" w:cs="Times New Roman"/>
          <w:b/>
        </w:rPr>
      </w:pPr>
    </w:p>
    <w:p w14:paraId="1EB33700">
      <w:pPr>
        <w:spacing w:line="276" w:lineRule="auto"/>
        <w:jc w:val="center"/>
        <w:rPr>
          <w:rFonts w:ascii="Times New Roman" w:hAnsi="Times New Roman" w:cs="Times New Roman"/>
          <w:b/>
        </w:rPr>
      </w:pPr>
    </w:p>
    <w:p w14:paraId="5468072A">
      <w:pPr>
        <w:spacing w:line="276" w:lineRule="auto"/>
        <w:jc w:val="center"/>
        <w:rPr>
          <w:rFonts w:ascii="Times New Roman" w:hAnsi="Times New Roman" w:cs="Times New Roman"/>
          <w:b/>
        </w:rPr>
      </w:pPr>
    </w:p>
    <w:p w14:paraId="59E2DC82">
      <w:pPr>
        <w:spacing w:line="276" w:lineRule="auto"/>
        <w:jc w:val="center"/>
        <w:rPr>
          <w:rFonts w:ascii="Times New Roman" w:hAnsi="Times New Roman" w:cs="Times New Roman"/>
          <w:b/>
        </w:rPr>
      </w:pPr>
    </w:p>
    <w:p w14:paraId="0DE24303">
      <w:pPr>
        <w:spacing w:line="276" w:lineRule="auto"/>
        <w:jc w:val="center"/>
        <w:rPr>
          <w:rFonts w:ascii="Times New Roman" w:hAnsi="Times New Roman" w:cs="Times New Roman"/>
          <w:b/>
        </w:rPr>
      </w:pPr>
    </w:p>
    <w:p w14:paraId="330B5C04">
      <w:pPr>
        <w:spacing w:line="276" w:lineRule="auto"/>
        <w:jc w:val="center"/>
        <w:rPr>
          <w:rFonts w:ascii="Times New Roman" w:hAnsi="Times New Roman" w:cs="Times New Roman"/>
          <w:b/>
        </w:rPr>
      </w:pPr>
    </w:p>
    <w:p w14:paraId="61646510">
      <w:pPr>
        <w:spacing w:line="276" w:lineRule="auto"/>
        <w:jc w:val="center"/>
        <w:rPr>
          <w:rFonts w:ascii="Times New Roman" w:hAnsi="Times New Roman" w:cs="Times New Roman"/>
          <w:b/>
        </w:rPr>
      </w:pPr>
    </w:p>
    <w:p w14:paraId="7668AB13">
      <w:pPr>
        <w:spacing w:line="276" w:lineRule="auto"/>
        <w:jc w:val="center"/>
        <w:rPr>
          <w:rFonts w:ascii="Times New Roman" w:hAnsi="Times New Roman" w:cs="Times New Roman"/>
          <w:b/>
        </w:rPr>
      </w:pPr>
    </w:p>
    <w:p w14:paraId="677B984E">
      <w:pPr>
        <w:spacing w:line="276" w:lineRule="auto"/>
        <w:jc w:val="center"/>
        <w:rPr>
          <w:rFonts w:ascii="Times New Roman" w:hAnsi="Times New Roman" w:cs="Times New Roman"/>
          <w:b/>
        </w:rPr>
      </w:pPr>
    </w:p>
    <w:p w14:paraId="6F9C2E58">
      <w:pPr>
        <w:pStyle w:val="58"/>
        <w:tabs>
          <w:tab w:val="left" w:pos="993"/>
          <w:tab w:val="left" w:pos="2382"/>
        </w:tabs>
        <w:spacing w:before="0" w:after="120" w:line="216" w:lineRule="auto"/>
        <w:ind w:left="426" w:hanging="426"/>
        <w:rPr>
          <w:rFonts w:ascii="Times New Roman" w:hAnsi="Times New Roman" w:eastAsia="Times New Roman" w:cs="Times New Roman"/>
          <w:b/>
          <w:bCs/>
          <w:caps/>
          <w:color w:val="auto"/>
          <w:sz w:val="24"/>
          <w:szCs w:val="24"/>
        </w:rPr>
      </w:pPr>
      <w:bookmarkStart w:id="0" w:name="_Toc158425621"/>
      <w:bookmarkStart w:id="1" w:name="_Toc144931229"/>
      <w:bookmarkStart w:id="2" w:name="_Toc156465713"/>
      <w:bookmarkStart w:id="3" w:name="_Toc184894602"/>
      <w:r>
        <w:t>ACRONIME ȘI ABREVIERI</w:t>
      </w:r>
      <w:bookmarkEnd w:id="0"/>
      <w:bookmarkEnd w:id="1"/>
      <w:bookmarkEnd w:id="2"/>
      <w:bookmarkEnd w:id="3"/>
    </w:p>
    <w:p w14:paraId="18B48177">
      <w:pPr>
        <w:spacing w:line="276" w:lineRule="auto"/>
        <w:rPr>
          <w:rFonts w:ascii="Times New Roman" w:hAnsi="Times New Roman" w:cs="Times New Roman"/>
        </w:rPr>
      </w:pPr>
    </w:p>
    <w:tbl>
      <w:tblPr>
        <w:tblStyle w:val="24"/>
        <w:tblpPr w:leftFromText="180" w:rightFromText="180" w:vertAnchor="text" w:tblpY="1"/>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74"/>
        <w:gridCol w:w="709"/>
        <w:gridCol w:w="7342"/>
      </w:tblGrid>
      <w:tr w14:paraId="79272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143F6EC4">
            <w:pPr>
              <w:pStyle w:val="59"/>
              <w:spacing w:after="0" w:line="360" w:lineRule="auto"/>
              <w:rPr>
                <w:rFonts w:ascii="Times New Roman" w:hAnsi="Times New Roman" w:cs="Times New Roman"/>
              </w:rPr>
            </w:pPr>
            <w:r>
              <w:t>PTF</w:t>
            </w:r>
          </w:p>
          <w:p w14:paraId="26251634">
            <w:pPr>
              <w:pStyle w:val="59"/>
              <w:spacing w:after="0" w:line="360" w:lineRule="auto"/>
              <w:rPr>
                <w:rFonts w:ascii="Times New Roman" w:hAnsi="Times New Roman" w:cs="Times New Roman"/>
              </w:rPr>
            </w:pPr>
            <w:r>
              <w:t>MIE</w:t>
            </w:r>
          </w:p>
          <w:p w14:paraId="5FD76C86">
            <w:pPr>
              <w:pStyle w:val="59"/>
              <w:spacing w:after="0" w:line="360" w:lineRule="auto"/>
              <w:rPr>
                <w:rFonts w:ascii="Times New Roman" w:hAnsi="Times New Roman" w:cs="Times New Roman"/>
                <w:b/>
              </w:rPr>
            </w:pPr>
            <w:r>
              <w:t>ESCP</w:t>
            </w:r>
          </w:p>
        </w:tc>
        <w:tc>
          <w:tcPr>
            <w:tcW w:w="709" w:type="dxa"/>
            <w:vAlign w:val="center"/>
          </w:tcPr>
          <w:p w14:paraId="34F88EFB">
            <w:pPr>
              <w:pStyle w:val="59"/>
              <w:spacing w:after="0" w:line="360" w:lineRule="auto"/>
              <w:rPr>
                <w:rFonts w:ascii="Times New Roman" w:hAnsi="Times New Roman" w:cs="Times New Roman"/>
              </w:rPr>
            </w:pPr>
            <w:r>
              <w:t>-</w:t>
            </w:r>
          </w:p>
          <w:p w14:paraId="30938942">
            <w:pPr>
              <w:pStyle w:val="59"/>
              <w:spacing w:after="0" w:line="360" w:lineRule="auto"/>
              <w:rPr>
                <w:rFonts w:ascii="Times New Roman" w:hAnsi="Times New Roman" w:cs="Times New Roman"/>
              </w:rPr>
            </w:pPr>
            <w:r>
              <w:t>-</w:t>
            </w:r>
          </w:p>
          <w:p w14:paraId="666B36A8">
            <w:pPr>
              <w:pStyle w:val="59"/>
              <w:spacing w:after="0" w:line="360" w:lineRule="auto"/>
              <w:rPr>
                <w:rFonts w:ascii="Times New Roman" w:hAnsi="Times New Roman" w:cs="Times New Roman"/>
              </w:rPr>
            </w:pPr>
            <w:r>
              <w:t>-</w:t>
            </w:r>
          </w:p>
        </w:tc>
        <w:tc>
          <w:tcPr>
            <w:tcW w:w="7342" w:type="dxa"/>
            <w:vAlign w:val="center"/>
          </w:tcPr>
          <w:p w14:paraId="63EBA498">
            <w:pPr>
              <w:pStyle w:val="59"/>
              <w:spacing w:after="0" w:line="360" w:lineRule="auto"/>
              <w:rPr>
                <w:rFonts w:ascii="Times New Roman" w:hAnsi="Times New Roman" w:cs="Times New Roman"/>
              </w:rPr>
            </w:pPr>
            <w:r>
              <w:t>Punct de trecere a frontierei</w:t>
            </w:r>
          </w:p>
          <w:p w14:paraId="75C013B7">
            <w:pPr>
              <w:pStyle w:val="59"/>
              <w:spacing w:after="0" w:line="360" w:lineRule="auto"/>
              <w:rPr>
                <w:rFonts w:ascii="Times New Roman" w:hAnsi="Times New Roman" w:cs="Times New Roman"/>
              </w:rPr>
            </w:pPr>
            <w:r>
              <w:t>Mecanismul pentru interconectarea Europei</w:t>
            </w:r>
          </w:p>
          <w:p w14:paraId="3A1CAD0A">
            <w:pPr>
              <w:pStyle w:val="59"/>
              <w:spacing w:after="0" w:line="360" w:lineRule="auto"/>
              <w:rPr>
                <w:rFonts w:ascii="Times New Roman" w:hAnsi="Times New Roman" w:cs="Times New Roman"/>
              </w:rPr>
            </w:pPr>
            <w:r>
              <w:t>Planul de angajament social și de mediu</w:t>
            </w:r>
          </w:p>
        </w:tc>
      </w:tr>
      <w:tr w14:paraId="11A08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 w:hRule="atLeast"/>
        </w:trPr>
        <w:tc>
          <w:tcPr>
            <w:tcW w:w="889" w:type="dxa"/>
            <w:vAlign w:val="center"/>
          </w:tcPr>
          <w:p w14:paraId="6D66B90B">
            <w:pPr>
              <w:pStyle w:val="59"/>
              <w:spacing w:after="0" w:line="360" w:lineRule="auto"/>
              <w:rPr>
                <w:rFonts w:ascii="Times New Roman" w:hAnsi="Times New Roman" w:cs="Times New Roman"/>
              </w:rPr>
            </w:pPr>
            <w:r>
              <w:t>ESMP</w:t>
            </w:r>
          </w:p>
        </w:tc>
        <w:tc>
          <w:tcPr>
            <w:tcW w:w="709" w:type="dxa"/>
          </w:tcPr>
          <w:p w14:paraId="18D5D236">
            <w:pPr>
              <w:pStyle w:val="59"/>
              <w:spacing w:after="0" w:line="360" w:lineRule="auto"/>
              <w:rPr>
                <w:rFonts w:ascii="Times New Roman" w:hAnsi="Times New Roman" w:cs="Times New Roman"/>
              </w:rPr>
            </w:pPr>
            <w:r>
              <w:t>-</w:t>
            </w:r>
          </w:p>
        </w:tc>
        <w:tc>
          <w:tcPr>
            <w:tcW w:w="7342" w:type="dxa"/>
            <w:vAlign w:val="center"/>
          </w:tcPr>
          <w:p w14:paraId="5DEE14CB">
            <w:pPr>
              <w:pStyle w:val="59"/>
              <w:spacing w:after="0" w:line="360" w:lineRule="auto"/>
              <w:rPr>
                <w:rFonts w:ascii="Times New Roman" w:hAnsi="Times New Roman" w:cs="Times New Roman"/>
              </w:rPr>
            </w:pPr>
            <w:r>
              <w:t>Plan de management social și de mediu</w:t>
            </w:r>
          </w:p>
        </w:tc>
      </w:tr>
      <w:tr w14:paraId="76FA10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 w:hRule="atLeast"/>
        </w:trPr>
        <w:tc>
          <w:tcPr>
            <w:tcW w:w="889" w:type="dxa"/>
            <w:vAlign w:val="center"/>
          </w:tcPr>
          <w:p w14:paraId="55A52AF8">
            <w:pPr>
              <w:pStyle w:val="59"/>
              <w:spacing w:after="0" w:line="360" w:lineRule="auto"/>
              <w:rPr>
                <w:rFonts w:ascii="Times New Roman" w:hAnsi="Times New Roman" w:cs="Times New Roman"/>
              </w:rPr>
            </w:pPr>
            <w:r>
              <w:t>SSE</w:t>
            </w:r>
          </w:p>
          <w:p w14:paraId="57242D27">
            <w:pPr>
              <w:pStyle w:val="59"/>
              <w:spacing w:after="0" w:line="360" w:lineRule="auto"/>
              <w:rPr>
                <w:rFonts w:ascii="Times New Roman" w:hAnsi="Times New Roman" w:cs="Times New Roman"/>
              </w:rPr>
            </w:pPr>
            <w:r>
              <w:t>UE</w:t>
            </w:r>
          </w:p>
        </w:tc>
        <w:tc>
          <w:tcPr>
            <w:tcW w:w="709" w:type="dxa"/>
          </w:tcPr>
          <w:p w14:paraId="195F7071">
            <w:pPr>
              <w:pStyle w:val="59"/>
              <w:spacing w:after="0" w:line="360" w:lineRule="auto"/>
              <w:rPr>
                <w:rFonts w:ascii="Times New Roman" w:hAnsi="Times New Roman" w:cs="Times New Roman"/>
              </w:rPr>
            </w:pPr>
            <w:r>
              <w:t>-</w:t>
            </w:r>
          </w:p>
          <w:p w14:paraId="21E52443">
            <w:pPr>
              <w:pStyle w:val="59"/>
              <w:spacing w:after="0" w:line="360" w:lineRule="auto"/>
              <w:rPr>
                <w:rFonts w:ascii="Times New Roman" w:hAnsi="Times New Roman" w:cs="Times New Roman"/>
              </w:rPr>
            </w:pPr>
            <w:r>
              <w:t>-</w:t>
            </w:r>
          </w:p>
        </w:tc>
        <w:tc>
          <w:tcPr>
            <w:tcW w:w="7342" w:type="dxa"/>
            <w:vAlign w:val="center"/>
          </w:tcPr>
          <w:p w14:paraId="38D964EB">
            <w:pPr>
              <w:pStyle w:val="59"/>
              <w:spacing w:after="0" w:line="360" w:lineRule="auto"/>
              <w:rPr>
                <w:rFonts w:ascii="Times New Roman" w:hAnsi="Times New Roman" w:cs="Times New Roman"/>
              </w:rPr>
            </w:pPr>
            <w:r>
              <w:t>Standard de mediu și social</w:t>
            </w:r>
          </w:p>
          <w:p w14:paraId="6EACD1D0">
            <w:pPr>
              <w:pStyle w:val="59"/>
              <w:spacing w:after="0" w:line="360" w:lineRule="auto"/>
              <w:rPr>
                <w:rFonts w:ascii="Times New Roman" w:hAnsi="Times New Roman" w:cs="Times New Roman"/>
              </w:rPr>
            </w:pPr>
            <w:r>
              <w:t>Uniunea Europeană</w:t>
            </w:r>
          </w:p>
        </w:tc>
      </w:tr>
      <w:tr w14:paraId="5F5F99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 w:hRule="atLeast"/>
        </w:trPr>
        <w:tc>
          <w:tcPr>
            <w:tcW w:w="889" w:type="dxa"/>
            <w:vAlign w:val="center"/>
          </w:tcPr>
          <w:p w14:paraId="725B971E">
            <w:pPr>
              <w:pStyle w:val="60"/>
              <w:spacing w:after="0" w:line="360" w:lineRule="auto"/>
              <w:rPr>
                <w:rFonts w:ascii="Times New Roman" w:hAnsi="Times New Roman" w:cs="Times New Roman"/>
              </w:rPr>
            </w:pPr>
            <w:r>
              <w:t>GRM</w:t>
            </w:r>
          </w:p>
        </w:tc>
        <w:tc>
          <w:tcPr>
            <w:tcW w:w="709" w:type="dxa"/>
          </w:tcPr>
          <w:p w14:paraId="3EC15C80">
            <w:pPr>
              <w:pStyle w:val="59"/>
              <w:spacing w:after="0" w:line="360" w:lineRule="auto"/>
              <w:rPr>
                <w:rFonts w:ascii="Times New Roman" w:hAnsi="Times New Roman" w:cs="Times New Roman"/>
              </w:rPr>
            </w:pPr>
            <w:r>
              <w:t>-</w:t>
            </w:r>
          </w:p>
        </w:tc>
        <w:tc>
          <w:tcPr>
            <w:tcW w:w="7342" w:type="dxa"/>
            <w:vAlign w:val="center"/>
          </w:tcPr>
          <w:p w14:paraId="1B06650E">
            <w:pPr>
              <w:pStyle w:val="60"/>
              <w:spacing w:after="0" w:line="360" w:lineRule="auto"/>
              <w:rPr>
                <w:rFonts w:ascii="Times New Roman" w:hAnsi="Times New Roman" w:cs="Times New Roman"/>
              </w:rPr>
            </w:pPr>
            <w:r>
              <w:t>Mecanismul de soluționare a reclamațiilor</w:t>
            </w:r>
          </w:p>
        </w:tc>
      </w:tr>
      <w:tr w14:paraId="186A3C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7196BE7C">
            <w:pPr>
              <w:pStyle w:val="59"/>
              <w:spacing w:after="0" w:line="360" w:lineRule="auto"/>
              <w:rPr>
                <w:rFonts w:ascii="Times New Roman" w:hAnsi="Times New Roman" w:eastAsia="Times New Roman" w:cs="Times New Roman"/>
                <w:color w:val="000000"/>
              </w:rPr>
            </w:pPr>
            <w:r>
              <w:t>MCS</w:t>
            </w:r>
          </w:p>
        </w:tc>
        <w:tc>
          <w:tcPr>
            <w:tcW w:w="709" w:type="dxa"/>
          </w:tcPr>
          <w:p w14:paraId="3F168FEF">
            <w:pPr>
              <w:pStyle w:val="59"/>
              <w:spacing w:after="0" w:line="360" w:lineRule="auto"/>
              <w:rPr>
                <w:rFonts w:ascii="Times New Roman" w:hAnsi="Times New Roman" w:cs="Times New Roman"/>
              </w:rPr>
            </w:pPr>
            <w:r>
              <w:t>-</w:t>
            </w:r>
          </w:p>
        </w:tc>
        <w:tc>
          <w:tcPr>
            <w:tcW w:w="7342" w:type="dxa"/>
            <w:vAlign w:val="center"/>
          </w:tcPr>
          <w:p w14:paraId="5F9CAB73">
            <w:pPr>
              <w:pStyle w:val="59"/>
              <w:spacing w:after="0" w:line="360" w:lineRule="auto"/>
              <w:rPr>
                <w:rFonts w:hint="default" w:ascii="Times New Roman" w:hAnsi="Times New Roman" w:eastAsia="Times New Roman" w:cs="Times New Roman"/>
                <w:color w:val="000000"/>
                <w:lang w:val="ro-RO"/>
              </w:rPr>
            </w:pPr>
            <w:r>
              <w:t xml:space="preserve">Serviciul Vamal </w:t>
            </w:r>
            <w:r>
              <w:rPr>
                <w:rFonts w:hint="default"/>
                <w:lang w:val="ro-RO"/>
              </w:rPr>
              <w:t>al Republicii Moldova</w:t>
            </w:r>
          </w:p>
        </w:tc>
      </w:tr>
      <w:tr w14:paraId="422EDA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 w:hRule="atLeast"/>
        </w:trPr>
        <w:tc>
          <w:tcPr>
            <w:tcW w:w="889" w:type="dxa"/>
            <w:vAlign w:val="center"/>
          </w:tcPr>
          <w:p w14:paraId="1AF6DF87">
            <w:pPr>
              <w:pStyle w:val="60"/>
              <w:spacing w:after="0" w:line="360" w:lineRule="auto"/>
              <w:rPr>
                <w:rFonts w:ascii="Times New Roman" w:hAnsi="Times New Roman"/>
              </w:rPr>
            </w:pPr>
            <w:r>
              <w:t>M&amp;E</w:t>
            </w:r>
          </w:p>
          <w:p w14:paraId="50374B32">
            <w:pPr>
              <w:pStyle w:val="60"/>
              <w:spacing w:after="0" w:line="360" w:lineRule="auto"/>
              <w:rPr>
                <w:rFonts w:ascii="Times New Roman" w:hAnsi="Times New Roman"/>
              </w:rPr>
            </w:pPr>
            <w:r>
              <w:t>MIRD</w:t>
            </w:r>
          </w:p>
          <w:p w14:paraId="3EA4F53C">
            <w:pPr>
              <w:pStyle w:val="60"/>
              <w:spacing w:after="0" w:line="360" w:lineRule="auto"/>
              <w:rPr>
                <w:rFonts w:ascii="Times New Roman" w:hAnsi="Times New Roman" w:cs="Times New Roman"/>
              </w:rPr>
            </w:pPr>
            <w:r>
              <w:t>MF</w:t>
            </w:r>
          </w:p>
        </w:tc>
        <w:tc>
          <w:tcPr>
            <w:tcW w:w="709" w:type="dxa"/>
          </w:tcPr>
          <w:p w14:paraId="03A6805A">
            <w:pPr>
              <w:pStyle w:val="59"/>
              <w:spacing w:after="0" w:line="360" w:lineRule="auto"/>
              <w:rPr>
                <w:rFonts w:ascii="Times New Roman" w:hAnsi="Times New Roman" w:cs="Times New Roman"/>
              </w:rPr>
            </w:pPr>
            <w:r>
              <w:t>-</w:t>
            </w:r>
          </w:p>
          <w:p w14:paraId="7645F325">
            <w:pPr>
              <w:pStyle w:val="59"/>
              <w:spacing w:after="0" w:line="360" w:lineRule="auto"/>
              <w:rPr>
                <w:rFonts w:ascii="Times New Roman" w:hAnsi="Times New Roman" w:cs="Times New Roman"/>
              </w:rPr>
            </w:pPr>
            <w:r>
              <w:t>-</w:t>
            </w:r>
          </w:p>
          <w:p w14:paraId="5960C53A">
            <w:pPr>
              <w:pStyle w:val="59"/>
              <w:spacing w:after="0" w:line="360" w:lineRule="auto"/>
              <w:rPr>
                <w:rFonts w:ascii="Times New Roman" w:hAnsi="Times New Roman" w:cs="Times New Roman"/>
              </w:rPr>
            </w:pPr>
            <w:r>
              <w:t>-</w:t>
            </w:r>
          </w:p>
        </w:tc>
        <w:tc>
          <w:tcPr>
            <w:tcW w:w="7342" w:type="dxa"/>
            <w:vAlign w:val="center"/>
          </w:tcPr>
          <w:p w14:paraId="36CF92F5">
            <w:pPr>
              <w:pStyle w:val="60"/>
              <w:spacing w:after="0" w:line="360" w:lineRule="auto"/>
              <w:rPr>
                <w:rFonts w:ascii="Times New Roman" w:hAnsi="Times New Roman"/>
              </w:rPr>
            </w:pPr>
            <w:r>
              <w:t xml:space="preserve">Monitorizare &amp;  Evaluare </w:t>
            </w:r>
          </w:p>
          <w:p w14:paraId="24033B26">
            <w:pPr>
              <w:pStyle w:val="59"/>
              <w:spacing w:after="0" w:line="360" w:lineRule="auto"/>
              <w:rPr>
                <w:rFonts w:ascii="Times New Roman" w:hAnsi="Times New Roman"/>
              </w:rPr>
            </w:pPr>
            <w:r>
              <w:t xml:space="preserve">Ministerul Infrastructurii și Dezvoltării Regionale </w:t>
            </w:r>
          </w:p>
          <w:p w14:paraId="707B3861">
            <w:pPr>
              <w:pStyle w:val="59"/>
              <w:spacing w:after="0" w:line="360" w:lineRule="auto"/>
              <w:rPr>
                <w:rFonts w:ascii="Times New Roman" w:hAnsi="Times New Roman" w:cs="Times New Roman"/>
              </w:rPr>
            </w:pPr>
            <w:r>
              <w:t xml:space="preserve">Ministerul Finanțelor </w:t>
            </w:r>
          </w:p>
        </w:tc>
      </w:tr>
      <w:tr w14:paraId="0795D8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1A74AA6B">
            <w:pPr>
              <w:pStyle w:val="60"/>
              <w:spacing w:after="0" w:line="360" w:lineRule="auto"/>
              <w:rPr>
                <w:rFonts w:ascii="Times New Roman" w:hAnsi="Times New Roman" w:cs="Times New Roman"/>
              </w:rPr>
            </w:pPr>
            <w:r>
              <w:t>SSM</w:t>
            </w:r>
          </w:p>
        </w:tc>
        <w:tc>
          <w:tcPr>
            <w:tcW w:w="709" w:type="dxa"/>
          </w:tcPr>
          <w:p w14:paraId="08BA9BF2">
            <w:pPr>
              <w:pStyle w:val="59"/>
              <w:spacing w:after="0" w:line="360" w:lineRule="auto"/>
              <w:rPr>
                <w:rFonts w:ascii="Times New Roman" w:hAnsi="Times New Roman" w:cs="Times New Roman"/>
              </w:rPr>
            </w:pPr>
            <w:r>
              <w:t>-</w:t>
            </w:r>
          </w:p>
        </w:tc>
        <w:tc>
          <w:tcPr>
            <w:tcW w:w="7342" w:type="dxa"/>
            <w:vAlign w:val="center"/>
          </w:tcPr>
          <w:p w14:paraId="79FD5AEB">
            <w:pPr>
              <w:pStyle w:val="60"/>
              <w:spacing w:after="0" w:line="360" w:lineRule="auto"/>
              <w:rPr>
                <w:rFonts w:ascii="Times New Roman" w:hAnsi="Times New Roman" w:cs="Times New Roman"/>
              </w:rPr>
            </w:pPr>
            <w:r>
              <w:t>Securitatea și sănătatea în muncă</w:t>
            </w:r>
          </w:p>
        </w:tc>
      </w:tr>
      <w:tr w14:paraId="05F32B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428CAD59">
            <w:pPr>
              <w:pStyle w:val="59"/>
              <w:spacing w:after="0" w:line="360" w:lineRule="auto"/>
              <w:rPr>
                <w:rFonts w:ascii="Times New Roman" w:hAnsi="Times New Roman" w:cs="Times New Roman"/>
              </w:rPr>
            </w:pPr>
            <w:r>
              <w:t>PAP</w:t>
            </w:r>
          </w:p>
          <w:p w14:paraId="1AA1FB6F">
            <w:pPr>
              <w:pStyle w:val="59"/>
              <w:spacing w:after="0" w:line="360" w:lineRule="auto"/>
              <w:rPr>
                <w:rFonts w:ascii="Times New Roman" w:hAnsi="Times New Roman" w:cs="Times New Roman"/>
              </w:rPr>
            </w:pPr>
            <w:r>
              <w:t>DOP</w:t>
            </w:r>
          </w:p>
        </w:tc>
        <w:tc>
          <w:tcPr>
            <w:tcW w:w="709" w:type="dxa"/>
          </w:tcPr>
          <w:p w14:paraId="183DF441">
            <w:pPr>
              <w:pStyle w:val="59"/>
              <w:spacing w:after="0" w:line="360" w:lineRule="auto"/>
              <w:rPr>
                <w:rFonts w:ascii="Times New Roman" w:hAnsi="Times New Roman" w:cs="Times New Roman"/>
              </w:rPr>
            </w:pPr>
            <w:r>
              <w:t>-</w:t>
            </w:r>
          </w:p>
          <w:p w14:paraId="5337931C">
            <w:pPr>
              <w:pStyle w:val="59"/>
              <w:spacing w:after="0" w:line="360" w:lineRule="auto"/>
              <w:rPr>
                <w:rFonts w:ascii="Times New Roman" w:hAnsi="Times New Roman" w:cs="Times New Roman"/>
              </w:rPr>
            </w:pPr>
            <w:r>
              <w:t>-</w:t>
            </w:r>
          </w:p>
        </w:tc>
        <w:tc>
          <w:tcPr>
            <w:tcW w:w="7342" w:type="dxa"/>
            <w:vAlign w:val="center"/>
          </w:tcPr>
          <w:p w14:paraId="3679B222">
            <w:pPr>
              <w:pStyle w:val="59"/>
              <w:spacing w:after="0" w:line="360" w:lineRule="auto"/>
              <w:rPr>
                <w:rFonts w:ascii="Times New Roman" w:hAnsi="Times New Roman" w:cs="Times New Roman"/>
              </w:rPr>
            </w:pPr>
            <w:r>
              <w:t>Persoana afectată de proiect</w:t>
            </w:r>
          </w:p>
          <w:p w14:paraId="16138572">
            <w:pPr>
              <w:pStyle w:val="59"/>
              <w:spacing w:after="0" w:line="360" w:lineRule="auto"/>
              <w:rPr>
                <w:rFonts w:ascii="Times New Roman" w:hAnsi="Times New Roman" w:cs="Times New Roman"/>
              </w:rPr>
            </w:pPr>
            <w:r>
              <w:t>Obiectivul de dezvoltare a proiectului</w:t>
            </w:r>
          </w:p>
        </w:tc>
      </w:tr>
      <w:tr w14:paraId="1721ED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5CE9D255">
            <w:pPr>
              <w:pStyle w:val="60"/>
              <w:spacing w:after="0" w:line="360" w:lineRule="auto"/>
              <w:rPr>
                <w:rFonts w:ascii="Times New Roman" w:hAnsi="Times New Roman" w:cs="Times New Roman"/>
              </w:rPr>
            </w:pPr>
            <w:r>
              <w:t>PIU</w:t>
            </w:r>
          </w:p>
        </w:tc>
        <w:tc>
          <w:tcPr>
            <w:tcW w:w="709" w:type="dxa"/>
          </w:tcPr>
          <w:p w14:paraId="1136E48B">
            <w:pPr>
              <w:pStyle w:val="59"/>
              <w:spacing w:after="0" w:line="360" w:lineRule="auto"/>
              <w:rPr>
                <w:rFonts w:ascii="Times New Roman" w:hAnsi="Times New Roman" w:cs="Times New Roman"/>
              </w:rPr>
            </w:pPr>
            <w:r>
              <w:t>-</w:t>
            </w:r>
          </w:p>
        </w:tc>
        <w:tc>
          <w:tcPr>
            <w:tcW w:w="7342" w:type="dxa"/>
            <w:vAlign w:val="center"/>
          </w:tcPr>
          <w:p w14:paraId="01EA5DED">
            <w:pPr>
              <w:pStyle w:val="60"/>
              <w:spacing w:after="0" w:line="360" w:lineRule="auto"/>
              <w:rPr>
                <w:rFonts w:ascii="Times New Roman" w:hAnsi="Times New Roman" w:cs="Times New Roman"/>
              </w:rPr>
            </w:pPr>
            <w:r>
              <w:t xml:space="preserve">Unitatea de implementare a proiectului </w:t>
            </w:r>
          </w:p>
        </w:tc>
      </w:tr>
      <w:tr w14:paraId="13EFBE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0BAB598A">
            <w:pPr>
              <w:pStyle w:val="60"/>
              <w:spacing w:after="0" w:line="360" w:lineRule="auto"/>
              <w:rPr>
                <w:rFonts w:ascii="Times New Roman" w:hAnsi="Times New Roman"/>
              </w:rPr>
            </w:pPr>
            <w:r>
              <w:t>PPE</w:t>
            </w:r>
          </w:p>
        </w:tc>
        <w:tc>
          <w:tcPr>
            <w:tcW w:w="709" w:type="dxa"/>
          </w:tcPr>
          <w:p w14:paraId="4796CBBD">
            <w:pPr>
              <w:pStyle w:val="59"/>
              <w:spacing w:after="0" w:line="360" w:lineRule="auto"/>
              <w:rPr>
                <w:rFonts w:ascii="Times New Roman" w:hAnsi="Times New Roman" w:cs="Times New Roman"/>
              </w:rPr>
            </w:pPr>
            <w:r>
              <w:t>-</w:t>
            </w:r>
          </w:p>
        </w:tc>
        <w:tc>
          <w:tcPr>
            <w:tcW w:w="7342" w:type="dxa"/>
            <w:vAlign w:val="center"/>
          </w:tcPr>
          <w:p w14:paraId="7F12EBDF">
            <w:pPr>
              <w:pStyle w:val="60"/>
              <w:spacing w:after="0" w:line="360" w:lineRule="auto"/>
              <w:rPr>
                <w:rFonts w:ascii="Times New Roman" w:hAnsi="Times New Roman"/>
              </w:rPr>
            </w:pPr>
            <w:r>
              <w:t>Echipament individual de protecție</w:t>
            </w:r>
          </w:p>
        </w:tc>
      </w:tr>
      <w:tr w14:paraId="652358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0DBD62D1">
            <w:pPr>
              <w:pStyle w:val="59"/>
              <w:spacing w:after="0" w:line="360" w:lineRule="auto"/>
              <w:rPr>
                <w:rFonts w:ascii="Times New Roman" w:hAnsi="Times New Roman" w:cs="Times New Roman"/>
              </w:rPr>
            </w:pPr>
            <w:r>
              <w:t>SBR</w:t>
            </w:r>
          </w:p>
          <w:p w14:paraId="6F6D05E6">
            <w:pPr>
              <w:pStyle w:val="59"/>
              <w:spacing w:after="0" w:line="360" w:lineRule="auto"/>
              <w:rPr>
                <w:rFonts w:ascii="Times New Roman" w:hAnsi="Times New Roman" w:cs="Times New Roman"/>
              </w:rPr>
            </w:pPr>
            <w:r>
              <w:t>SEA/SH</w:t>
            </w:r>
          </w:p>
        </w:tc>
        <w:tc>
          <w:tcPr>
            <w:tcW w:w="709" w:type="dxa"/>
          </w:tcPr>
          <w:p w14:paraId="01F16A41">
            <w:pPr>
              <w:pStyle w:val="59"/>
              <w:spacing w:after="0" w:line="360" w:lineRule="auto"/>
              <w:rPr>
                <w:rFonts w:ascii="Times New Roman" w:hAnsi="Times New Roman" w:cs="Times New Roman"/>
              </w:rPr>
            </w:pPr>
            <w:r>
              <w:t>-</w:t>
            </w:r>
          </w:p>
          <w:p w14:paraId="448845FC">
            <w:pPr>
              <w:pStyle w:val="59"/>
              <w:spacing w:after="0" w:line="360" w:lineRule="auto"/>
              <w:rPr>
                <w:rFonts w:ascii="Times New Roman" w:hAnsi="Times New Roman" w:cs="Times New Roman"/>
              </w:rPr>
            </w:pPr>
            <w:r>
              <w:t>-</w:t>
            </w:r>
          </w:p>
        </w:tc>
        <w:tc>
          <w:tcPr>
            <w:tcW w:w="7342" w:type="dxa"/>
            <w:vAlign w:val="center"/>
          </w:tcPr>
          <w:p w14:paraId="600482FD">
            <w:pPr>
              <w:pStyle w:val="59"/>
              <w:spacing w:after="0" w:line="360" w:lineRule="auto"/>
              <w:rPr>
                <w:rFonts w:ascii="Times New Roman" w:hAnsi="Times New Roman" w:cs="Times New Roman"/>
              </w:rPr>
            </w:pPr>
            <w:r>
              <w:t>Reactorul lotului de secvențiere</w:t>
            </w:r>
          </w:p>
          <w:p w14:paraId="3AF1B115">
            <w:pPr>
              <w:pStyle w:val="61"/>
              <w:spacing w:after="0" w:line="360" w:lineRule="auto"/>
              <w:rPr>
                <w:rFonts w:ascii="Times New Roman" w:hAnsi="Times New Roman" w:cs="Times New Roman"/>
              </w:rPr>
            </w:pPr>
            <w:r>
              <w:t>Exploatarea sexuală, abuzul și hărțuirea</w:t>
            </w:r>
          </w:p>
        </w:tc>
      </w:tr>
      <w:tr w14:paraId="43D683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181973AC">
            <w:pPr>
              <w:pStyle w:val="59"/>
              <w:spacing w:after="0" w:line="360" w:lineRule="auto"/>
              <w:rPr>
                <w:rFonts w:ascii="Times New Roman" w:hAnsi="Times New Roman" w:cs="Times New Roman"/>
              </w:rPr>
            </w:pPr>
            <w:r>
              <w:t>BES</w:t>
            </w:r>
          </w:p>
        </w:tc>
        <w:tc>
          <w:tcPr>
            <w:tcW w:w="709" w:type="dxa"/>
          </w:tcPr>
          <w:p w14:paraId="237742D6">
            <w:pPr>
              <w:pStyle w:val="59"/>
              <w:spacing w:after="0" w:line="360" w:lineRule="auto"/>
              <w:rPr>
                <w:rFonts w:ascii="Times New Roman" w:hAnsi="Times New Roman" w:cs="Times New Roman"/>
              </w:rPr>
            </w:pPr>
            <w:r>
              <w:t>-</w:t>
            </w:r>
          </w:p>
        </w:tc>
        <w:tc>
          <w:tcPr>
            <w:tcW w:w="7342" w:type="dxa"/>
            <w:vAlign w:val="center"/>
          </w:tcPr>
          <w:p w14:paraId="314BCBCF">
            <w:pPr>
              <w:pStyle w:val="59"/>
              <w:spacing w:after="0" w:line="360" w:lineRule="auto"/>
              <w:rPr>
                <w:rFonts w:ascii="Times New Roman" w:hAnsi="Times New Roman" w:cs="Times New Roman"/>
              </w:rPr>
            </w:pPr>
            <w:r>
              <w:t>Planul de implicare a părților interesate</w:t>
            </w:r>
          </w:p>
        </w:tc>
      </w:tr>
      <w:tr w14:paraId="54150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1777857A">
            <w:pPr>
              <w:pStyle w:val="59"/>
              <w:spacing w:after="0" w:line="360" w:lineRule="auto"/>
              <w:rPr>
                <w:rFonts w:ascii="Times New Roman" w:hAnsi="Times New Roman" w:cs="Times New Roman"/>
              </w:rPr>
            </w:pPr>
            <w:r>
              <w:t>TIR-uri</w:t>
            </w:r>
          </w:p>
        </w:tc>
        <w:tc>
          <w:tcPr>
            <w:tcW w:w="709" w:type="dxa"/>
            <w:vAlign w:val="center"/>
          </w:tcPr>
          <w:p w14:paraId="5F4859C2">
            <w:pPr>
              <w:pStyle w:val="59"/>
              <w:spacing w:after="0" w:line="360" w:lineRule="auto"/>
              <w:rPr>
                <w:rFonts w:ascii="Times New Roman" w:hAnsi="Times New Roman" w:cs="Times New Roman"/>
              </w:rPr>
            </w:pPr>
            <w:r>
              <w:t>-</w:t>
            </w:r>
          </w:p>
        </w:tc>
        <w:tc>
          <w:tcPr>
            <w:tcW w:w="7342" w:type="dxa"/>
            <w:vAlign w:val="center"/>
          </w:tcPr>
          <w:p w14:paraId="75A84968">
            <w:pPr>
              <w:pStyle w:val="59"/>
              <w:spacing w:after="0" w:line="360" w:lineRule="auto"/>
              <w:rPr>
                <w:rFonts w:ascii="Times New Roman" w:hAnsi="Times New Roman" w:cs="Times New Roman"/>
              </w:rPr>
            </w:pPr>
            <w:r>
              <w:t>Camioane care operează în temeiul Convenției TIR („Transports Internationaux Routiers”) (transport rutier internațional)</w:t>
            </w:r>
          </w:p>
        </w:tc>
      </w:tr>
      <w:tr w14:paraId="257BA2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 w:hRule="atLeast"/>
        </w:trPr>
        <w:tc>
          <w:tcPr>
            <w:tcW w:w="889" w:type="dxa"/>
            <w:vAlign w:val="center"/>
          </w:tcPr>
          <w:p w14:paraId="454C4ED0">
            <w:pPr>
              <w:pStyle w:val="59"/>
              <w:spacing w:after="0" w:line="360" w:lineRule="auto"/>
              <w:rPr>
                <w:rFonts w:ascii="Times New Roman" w:hAnsi="Times New Roman" w:cs="Times New Roman"/>
              </w:rPr>
            </w:pPr>
            <w:r>
              <w:t xml:space="preserve">BM </w:t>
            </w:r>
          </w:p>
          <w:p w14:paraId="1B785FD3">
            <w:pPr>
              <w:pStyle w:val="59"/>
              <w:spacing w:after="0" w:line="360" w:lineRule="auto"/>
              <w:rPr>
                <w:rFonts w:hint="default" w:ascii="Times New Roman" w:hAnsi="Times New Roman" w:cs="Times New Roman"/>
                <w:lang w:val="ro-RO"/>
              </w:rPr>
            </w:pPr>
            <w:r>
              <w:t>S</w:t>
            </w:r>
            <w:r>
              <w:rPr>
                <w:rFonts w:hint="default"/>
                <w:lang w:val="ro-RO"/>
              </w:rPr>
              <w:t>EAU</w:t>
            </w:r>
          </w:p>
        </w:tc>
        <w:tc>
          <w:tcPr>
            <w:tcW w:w="709" w:type="dxa"/>
            <w:vAlign w:val="center"/>
          </w:tcPr>
          <w:p w14:paraId="7400E875">
            <w:pPr>
              <w:pStyle w:val="59"/>
              <w:spacing w:after="0" w:line="360" w:lineRule="auto"/>
              <w:rPr>
                <w:rFonts w:ascii="Times New Roman" w:hAnsi="Times New Roman" w:cs="Times New Roman"/>
              </w:rPr>
            </w:pPr>
            <w:r>
              <w:t>-</w:t>
            </w:r>
          </w:p>
          <w:p w14:paraId="61E2C34B">
            <w:pPr>
              <w:pStyle w:val="59"/>
              <w:spacing w:after="0" w:line="360" w:lineRule="auto"/>
              <w:rPr>
                <w:rFonts w:ascii="Times New Roman" w:hAnsi="Times New Roman" w:cs="Times New Roman"/>
              </w:rPr>
            </w:pPr>
            <w:r>
              <w:t xml:space="preserve">- </w:t>
            </w:r>
          </w:p>
        </w:tc>
        <w:tc>
          <w:tcPr>
            <w:tcW w:w="7342" w:type="dxa"/>
            <w:vAlign w:val="center"/>
          </w:tcPr>
          <w:p w14:paraId="536AF893">
            <w:pPr>
              <w:pStyle w:val="59"/>
              <w:spacing w:after="0" w:line="360" w:lineRule="auto"/>
              <w:rPr>
                <w:rFonts w:ascii="Times New Roman" w:hAnsi="Times New Roman" w:cs="Times New Roman"/>
              </w:rPr>
            </w:pPr>
            <w:r>
              <w:t>Banca Mondială</w:t>
            </w:r>
          </w:p>
          <w:p w14:paraId="49CF018F">
            <w:pPr>
              <w:pStyle w:val="59"/>
              <w:spacing w:after="0" w:line="360" w:lineRule="auto"/>
              <w:rPr>
                <w:rFonts w:ascii="Times New Roman" w:hAnsi="Times New Roman" w:cs="Times New Roman"/>
                <w:b/>
              </w:rPr>
            </w:pPr>
            <w:r>
              <w:t>Stație de epurare a apelor uzate</w:t>
            </w:r>
          </w:p>
        </w:tc>
      </w:tr>
    </w:tbl>
    <w:p w14:paraId="3AE74A72">
      <w:pPr>
        <w:pStyle w:val="4"/>
        <w:rPr>
          <w:rFonts w:ascii="Times New Roman" w:hAnsi="Times New Roman" w:eastAsia="Times New Roman" w:cs="Times New Roman"/>
          <w:b/>
          <w:bCs/>
          <w:sz w:val="22"/>
          <w:szCs w:val="22"/>
        </w:rPr>
      </w:pPr>
    </w:p>
    <w:p w14:paraId="731021BB"/>
    <w:p w14:paraId="69F4F230"/>
    <w:p w14:paraId="472EFBB0"/>
    <w:p w14:paraId="5F1D79B7"/>
    <w:p w14:paraId="72FD54BD"/>
    <w:p w14:paraId="134E1BD1"/>
    <w:p w14:paraId="15FBAB8D">
      <w:pPr>
        <w:pStyle w:val="22"/>
        <w:spacing w:before="0" w:beforeAutospacing="0" w:after="0" w:afterAutospacing="0" w:line="276" w:lineRule="auto"/>
        <w:jc w:val="both"/>
        <w:rPr>
          <w:b/>
          <w:bCs/>
          <w:sz w:val="22"/>
          <w:szCs w:val="22"/>
        </w:rPr>
      </w:pPr>
    </w:p>
    <w:p w14:paraId="5F7D1D2E">
      <w:pPr>
        <w:pStyle w:val="62"/>
        <w:spacing w:before="0" w:beforeAutospacing="0" w:after="0" w:afterAutospacing="0" w:line="276" w:lineRule="auto"/>
        <w:jc w:val="both"/>
        <w:rPr>
          <w:b/>
          <w:bCs/>
          <w:sz w:val="22"/>
          <w:szCs w:val="22"/>
        </w:rPr>
      </w:pPr>
      <w:r>
        <w:t xml:space="preserve">Introducere </w:t>
      </w:r>
    </w:p>
    <w:p w14:paraId="0178D338">
      <w:pPr>
        <w:pStyle w:val="59"/>
        <w:spacing w:line="276" w:lineRule="auto"/>
        <w:jc w:val="both"/>
        <w:rPr>
          <w:rFonts w:ascii="Times New Roman" w:hAnsi="Times New Roman" w:cs="Times New Roman"/>
        </w:rPr>
      </w:pPr>
      <w:r>
        <w:t xml:space="preserve">Republica Moldova va implementa </w:t>
      </w:r>
      <w:r>
        <w:rPr>
          <w:b/>
        </w:rPr>
        <w:t>Proiectul de Conectivitate Rurală</w:t>
      </w:r>
      <w:r>
        <w:rPr>
          <w:rFonts w:hint="default"/>
          <w:b/>
          <w:lang w:val="ro-RO"/>
        </w:rPr>
        <w:t xml:space="preserve"> </w:t>
      </w:r>
      <w:r>
        <w:rPr>
          <w:b/>
        </w:rPr>
        <w:t>din Moldova</w:t>
      </w:r>
      <w:r>
        <w:rPr>
          <w:rFonts w:hint="default"/>
          <w:b/>
          <w:lang w:val="ro-RO"/>
        </w:rPr>
        <w:t xml:space="preserve"> </w:t>
      </w:r>
      <w:r>
        <w:rPr>
          <w:b/>
        </w:rPr>
        <w:t>(Proiectul),</w:t>
      </w:r>
      <w:r>
        <w:t xml:space="preserve"> cu implicarea Ministerului Finanțelor (MoF) prin Serviciul Vamal </w:t>
      </w:r>
      <w:r>
        <w:rPr>
          <w:rFonts w:hint="default"/>
          <w:lang w:val="ro-RO"/>
        </w:rPr>
        <w:t>al Republicii</w:t>
      </w:r>
      <w:r>
        <w:t xml:space="preserve"> Moldova (MCS) și a Ministerului Infrastructurii și Dezvoltării Regionale (MIRD) prin Administrația Drumurilor de Stat (SRA), cu finanțarea Băncii Internaționale pentru Reconstrucție și Dezvoltare (Banca Mondială).</w:t>
      </w:r>
    </w:p>
    <w:p w14:paraId="4B543A67">
      <w:pPr>
        <w:pStyle w:val="59"/>
        <w:spacing w:line="276" w:lineRule="auto"/>
        <w:jc w:val="both"/>
        <w:rPr>
          <w:rFonts w:ascii="Times New Roman" w:hAnsi="Times New Roman" w:cs="Times New Roman"/>
        </w:rPr>
      </w:pPr>
      <w:r>
        <w:t>Instituțiile beneficiare se asigură că proiectul se desfășoară în conformitate cu standardele sociale și de mediu (ESS) și cu planul de angajament social și de mediu (ESCP) al proiectului, într-un mod acceptabil pentru Banca Mondială.</w:t>
      </w:r>
    </w:p>
    <w:p w14:paraId="17B6CF92">
      <w:pPr>
        <w:pStyle w:val="59"/>
        <w:spacing w:line="276" w:lineRule="auto"/>
        <w:jc w:val="both"/>
        <w:rPr>
          <w:rFonts w:ascii="Times New Roman" w:hAnsi="Times New Roman" w:cs="Times New Roman"/>
        </w:rPr>
      </w:pPr>
      <w:r>
        <w:t>Obiectivul de Dezvoltare a Proiectului (PDO) este: (i) îmbunătățirea conectivității rutiere reziliente la schimbările climatice în anumite comunități rurale; (ii) îmbunătățirea tranzitului rutier prin anumite puncte de trecere a frontierei cu România; și (iii) în cazul unei crize sau situații de urgență eligibile, să răspundă prompt și eficace la aceasta.</w:t>
      </w:r>
    </w:p>
    <w:p w14:paraId="14019A3A">
      <w:pPr>
        <w:pStyle w:val="59"/>
        <w:spacing w:line="276" w:lineRule="auto"/>
        <w:jc w:val="both"/>
        <w:rPr>
          <w:rFonts w:ascii="Times New Roman" w:hAnsi="Times New Roman" w:cs="Times New Roman"/>
        </w:rPr>
      </w:pPr>
      <w:r>
        <w:rPr>
          <w:rFonts w:hint="default"/>
          <w:lang w:val="ro-RO"/>
        </w:rPr>
        <w:t>Proiectul include</w:t>
      </w:r>
      <w:r>
        <w:t xml:space="preserve"> patru componente: (i) componenta A va finanța lucrările fizice necesare pentru a conecta comunitățile locale cu serviciile publice și oportunitățile economice, pe baza sprijinului anterior acordat modernizării de către guvern a unei rețele prioritare de drumuri locale și regionale; (ii) componenta B va facilita comerțul și va extinde culoarele de solidaritate, prin creșterea capacităților și modernizarea punctelor de trecere a frontierei Ungheni, Leușeni și Giurgiulești (PTF) și a căilor de acces care le leagă; (iii) componenta C va finanța intervenții menite să consolideze capacitatea de livrare și să sprijine funcțiile esențiale de gestionare a proiectelor; și (iv) componenta D va oferi o capacitate de răspuns în situații de urgență contingentă de rezervă, în cazul în care va fi necesar. </w:t>
      </w:r>
    </w:p>
    <w:p w14:paraId="3B0E098D">
      <w:pPr>
        <w:pStyle w:val="59"/>
        <w:spacing w:line="276" w:lineRule="auto"/>
        <w:jc w:val="both"/>
        <w:rPr>
          <w:rFonts w:ascii="Times New Roman" w:hAnsi="Times New Roman" w:cs="Times New Roman"/>
        </w:rPr>
      </w:pPr>
      <w:r>
        <w:rPr>
          <w:b/>
        </w:rPr>
        <w:t xml:space="preserve">Componenta B, </w:t>
      </w:r>
      <w:r>
        <w:t xml:space="preserve">implementată de </w:t>
      </w:r>
      <w:r>
        <w:rPr>
          <w:rFonts w:hint="default"/>
          <w:lang w:val="ro-RO"/>
        </w:rPr>
        <w:t>MCS</w:t>
      </w:r>
      <w:r>
        <w:t xml:space="preserve">, are scopul de a spori capacitatea și de a îmbunătăți funcționalitatea punctelor de trecere a frontierei (PTF) dintre Republica Moldova și România. Lucrările includ o serie de intervenții atât la nivelul infrastructurii PTF, cât și la nivelul achiziționării de echipamente necesare pentru îmbunătățirea funcționalității acestora. Aceste intervenții sunt concepute pentru a spori capacitatea, interoperabilitatea și eficiența serviciilor de trecere a frontierei în conformitate cu reglementările existente. Investițiile realizate în cadrul acestei componente vor fi </w:t>
      </w:r>
      <w:r>
        <w:rPr>
          <w:rFonts w:hint="default"/>
          <w:lang w:val="ro-RO"/>
        </w:rPr>
        <w:t xml:space="preserve">finantate și din sursele de Grant oferite de UE prin programul </w:t>
      </w:r>
      <w:r>
        <w:t xml:space="preserve"> Mecanismul pentru interconectarea Europei (MIE). </w:t>
      </w:r>
    </w:p>
    <w:p w14:paraId="46F13DA8">
      <w:pPr>
        <w:pStyle w:val="59"/>
        <w:spacing w:line="276" w:lineRule="auto"/>
        <w:jc w:val="both"/>
        <w:rPr>
          <w:rFonts w:ascii="Times New Roman" w:hAnsi="Times New Roman" w:cs="Times New Roman"/>
        </w:rPr>
      </w:pPr>
      <w:r>
        <w:t xml:space="preserve">Investițiile pe partea Moldovei a frontierei vor fi completate de investiții simultane de modernizare pe partea României. Aceste investiții </w:t>
      </w:r>
      <w:r>
        <w:rPr>
          <w:rFonts w:hint="default"/>
          <w:lang w:val="ro-RO"/>
        </w:rPr>
        <w:t xml:space="preserve">sunt finanțate de </w:t>
      </w:r>
      <w:r>
        <w:t xml:space="preserve"> Guvernul României și cofinanțate de MIE.</w:t>
      </w:r>
    </w:p>
    <w:p w14:paraId="0609BED3">
      <w:pPr>
        <w:spacing w:line="276" w:lineRule="auto"/>
        <w:jc w:val="both"/>
        <w:rPr>
          <w:rFonts w:ascii="Times New Roman" w:hAnsi="Times New Roman" w:cs="Times New Roman"/>
        </w:rPr>
      </w:pPr>
    </w:p>
    <w:p w14:paraId="2AB9AD0D">
      <w:pPr>
        <w:pStyle w:val="57"/>
        <w:spacing w:line="276" w:lineRule="auto"/>
        <w:jc w:val="both"/>
        <w:rPr>
          <w:rFonts w:ascii="Times New Roman" w:hAnsi="Times New Roman" w:cs="Times New Roman"/>
          <w:b/>
          <w:bCs/>
        </w:rPr>
      </w:pPr>
      <w:r>
        <w:t>Dispoziții instituționale</w:t>
      </w:r>
    </w:p>
    <w:p w14:paraId="63D8F898">
      <w:pPr>
        <w:pStyle w:val="59"/>
        <w:spacing w:line="276" w:lineRule="auto"/>
        <w:jc w:val="both"/>
        <w:rPr>
          <w:rFonts w:ascii="Times New Roman" w:hAnsi="Times New Roman" w:cs="Times New Roman"/>
        </w:rPr>
      </w:pPr>
      <w:r>
        <w:t>Implementarea Componentei B a Proiectului de Conectivitate Rurală din Moldova, care vizează facilitarea comerțului și extinderea culoarelor de solidaritate, implică un cadru instituțional robust pentru a asigura execuția eficientă a proiectului și respectarea standardelor naționale și internaționale.</w:t>
      </w:r>
    </w:p>
    <w:p w14:paraId="15C5DD07">
      <w:pPr>
        <w:pStyle w:val="59"/>
        <w:spacing w:line="276" w:lineRule="auto"/>
        <w:jc w:val="both"/>
        <w:rPr>
          <w:rFonts w:ascii="Times New Roman" w:hAnsi="Times New Roman" w:cs="Times New Roman"/>
        </w:rPr>
      </w:pPr>
      <w:r>
        <w:rPr>
          <w:b/>
          <w:bCs/>
        </w:rPr>
        <w:t>Beneficiarul principal</w:t>
      </w:r>
      <w:r>
        <w:rPr>
          <w:b/>
        </w:rPr>
        <w:t xml:space="preserve">. </w:t>
      </w:r>
      <w:r>
        <w:rPr>
          <w:b w:val="0"/>
          <w:bCs/>
        </w:rPr>
        <w:t xml:space="preserve">Beneficiarul </w:t>
      </w:r>
      <w:r>
        <w:t xml:space="preserve">principal al proiectului este </w:t>
      </w:r>
      <w:r>
        <w:rPr>
          <w:b/>
        </w:rPr>
        <w:t xml:space="preserve">Serviciul Vamal </w:t>
      </w:r>
      <w:r>
        <w:rPr>
          <w:rFonts w:hint="default"/>
          <w:b/>
          <w:lang w:val="ro-RO"/>
        </w:rPr>
        <w:t>al Republicii</w:t>
      </w:r>
      <w:r>
        <w:rPr>
          <w:b/>
        </w:rPr>
        <w:t xml:space="preserve"> Moldova (MCS).</w:t>
      </w:r>
      <w:r>
        <w:t xml:space="preserve"> În calitate de a</w:t>
      </w:r>
      <w:r>
        <w:rPr>
          <w:rFonts w:hint="default"/>
          <w:lang w:val="ro-RO"/>
        </w:rPr>
        <w:t xml:space="preserve">utoritate </w:t>
      </w:r>
      <w:r>
        <w:t xml:space="preserve">responsabilă </w:t>
      </w:r>
      <w:r>
        <w:rPr>
          <w:rFonts w:hint="default"/>
          <w:lang w:val="ro-RO"/>
        </w:rPr>
        <w:t>de</w:t>
      </w:r>
      <w:r>
        <w:t xml:space="preserve"> gestionarea și controlul comerțului transfrontalier, </w:t>
      </w:r>
      <w:r>
        <w:rPr>
          <w:rFonts w:hint="default"/>
          <w:lang w:val="ro-RO"/>
        </w:rPr>
        <w:t>MCS</w:t>
      </w:r>
      <w:r>
        <w:t xml:space="preserve"> va beneficia în mod direct de modernizarea și extinderea punctelor de trecere a frontierei de la Leușeni, Ungheni și Giurgiulești. </w:t>
      </w:r>
      <w:r>
        <w:rPr>
          <w:rFonts w:hint="default"/>
          <w:lang w:val="ro-RO"/>
        </w:rPr>
        <w:t>Dezvoltarea utilităților, modernizarea</w:t>
      </w:r>
      <w:r>
        <w:t xml:space="preserve"> echipamente</w:t>
      </w:r>
      <w:r>
        <w:rPr>
          <w:rFonts w:hint="default"/>
          <w:lang w:val="ro-RO"/>
        </w:rPr>
        <w:t xml:space="preserve">lor </w:t>
      </w:r>
      <w:r>
        <w:t xml:space="preserve"> și </w:t>
      </w:r>
      <w:r>
        <w:rPr>
          <w:rFonts w:hint="default"/>
          <w:lang w:val="ro-RO"/>
        </w:rPr>
        <w:t xml:space="preserve">optimizarea </w:t>
      </w:r>
      <w:r>
        <w:t>sistemel</w:t>
      </w:r>
      <w:r>
        <w:rPr>
          <w:rFonts w:hint="default"/>
          <w:lang w:val="ro-RO"/>
        </w:rPr>
        <w:t xml:space="preserve">or </w:t>
      </w:r>
      <w:r>
        <w:t xml:space="preserve">de gestionare a traficului vor spori capacitatea operațională a </w:t>
      </w:r>
      <w:r>
        <w:rPr>
          <w:rFonts w:hint="default"/>
          <w:lang w:val="ro-RO"/>
        </w:rPr>
        <w:t>MCS</w:t>
      </w:r>
      <w:r>
        <w:t xml:space="preserve">, </w:t>
      </w:r>
      <w:r>
        <w:rPr>
          <w:rFonts w:hint="default"/>
          <w:lang w:val="ro-RO"/>
        </w:rPr>
        <w:t xml:space="preserve">prin </w:t>
      </w:r>
      <w:r>
        <w:t xml:space="preserve">proceduri vamale mai eficiente și mai sigure </w:t>
      </w:r>
      <w:r>
        <w:rPr>
          <w:rFonts w:hint="default"/>
          <w:lang w:val="ro-RO"/>
        </w:rPr>
        <w:t>ce vor</w:t>
      </w:r>
      <w:r>
        <w:t xml:space="preserve"> contribuila facilitarea comerțului în regiune.  </w:t>
      </w:r>
    </w:p>
    <w:p w14:paraId="613610E6">
      <w:pPr>
        <w:pStyle w:val="59"/>
        <w:spacing w:line="276" w:lineRule="auto"/>
        <w:jc w:val="both"/>
        <w:rPr>
          <w:rFonts w:ascii="Times New Roman" w:hAnsi="Times New Roman" w:cs="Times New Roman"/>
        </w:rPr>
      </w:pPr>
      <w:r>
        <w:t xml:space="preserve">Principalii beneficiari </w:t>
      </w:r>
      <w:r>
        <w:rPr>
          <w:rFonts w:hint="default"/>
          <w:lang w:val="ro-RO"/>
        </w:rPr>
        <w:t xml:space="preserve">în cadrul </w:t>
      </w:r>
      <w:r>
        <w:t xml:space="preserve">extinderii și modernizării </w:t>
      </w:r>
      <w:r>
        <w:rPr>
          <w:rFonts w:hint="default"/>
          <w:lang w:val="ro-RO"/>
        </w:rPr>
        <w:t xml:space="preserve">Zonei de control vamal Giurgiulești existente (MD) </w:t>
      </w:r>
      <w:r>
        <w:t xml:space="preserve">sunt Serviciul Vamal din Moldova (MCS), operatorii de transport de mărfuri, comunitățile locale și lanțurile de aprovizionare regionale. </w:t>
      </w:r>
      <w:r>
        <w:rPr>
          <w:rFonts w:hint="default"/>
          <w:lang w:val="ro-RO"/>
        </w:rPr>
        <w:t>MCS</w:t>
      </w:r>
      <w:r>
        <w:t xml:space="preserve"> va d</w:t>
      </w:r>
      <w:r>
        <w:rPr>
          <w:rFonts w:hint="default"/>
          <w:lang w:val="ro-RO"/>
        </w:rPr>
        <w:t>obține</w:t>
      </w:r>
      <w:r>
        <w:t xml:space="preserve"> o capacitate de control sporită și o infrastructură îmbunătățită pentru gestionarea eficientă a procedurilor vamale, reducând blocajele operaționale. Companiile de transport de marfa si soferii de camioane vor </w:t>
      </w:r>
      <w:r>
        <w:rPr>
          <w:rFonts w:hint="default"/>
          <w:lang w:val="ro-RO"/>
        </w:rPr>
        <w:t>obține</w:t>
      </w:r>
      <w:r>
        <w:t xml:space="preserve"> timpi de asteptare redusi, conditii mai sigure si facilitati mai bune, contribuind la fluidizarea proceselor de tranzit si logistica. Localnicii din Giurgiulești vor beneficia de reducerea congestionării traficului și a poluării, îmbunătățind siguranța și condițiile de viață. În ansamblu, proiectul va consolida fluxurile comerciale regionale prin asigurarea unui transport transfrontalier mai eficient și mai previzibil.</w:t>
      </w:r>
    </w:p>
    <w:p w14:paraId="62BD080B">
      <w:pPr>
        <w:pStyle w:val="59"/>
        <w:spacing w:line="276" w:lineRule="auto"/>
        <w:jc w:val="both"/>
        <w:rPr>
          <w:rFonts w:ascii="Times New Roman" w:hAnsi="Times New Roman" w:cs="Times New Roman"/>
          <w:b/>
          <w:bCs/>
        </w:rPr>
      </w:pPr>
      <w:r>
        <w:t>U</w:t>
      </w:r>
      <w:r>
        <w:rPr>
          <w:b/>
          <w:bCs/>
        </w:rPr>
        <w:t>nitatea de implementare a p</w:t>
      </w:r>
      <w:r>
        <w:rPr>
          <w:b/>
        </w:rPr>
        <w:t xml:space="preserve">roiectului (UIP). </w:t>
      </w:r>
      <w:r>
        <w:t>Pentru gestionarea și punerea în aplicare eficace a proiectului, în cadrul</w:t>
      </w:r>
      <w:r>
        <w:rPr>
          <w:rFonts w:hint="default"/>
          <w:lang w:val="ro-RO"/>
        </w:rPr>
        <w:t>MCS</w:t>
      </w:r>
      <w:r>
        <w:t xml:space="preserve"> </w:t>
      </w:r>
      <w:r>
        <w:rPr>
          <w:b/>
        </w:rPr>
        <w:t xml:space="preserve">a fost </w:t>
      </w:r>
      <w:r>
        <w:rPr>
          <w:rFonts w:hint="default"/>
          <w:b/>
          <w:lang w:val="ro-RO"/>
        </w:rPr>
        <w:t>creată Unitatea de implementare a Proiectului</w:t>
      </w:r>
      <w:r>
        <w:rPr>
          <w:b/>
        </w:rPr>
        <w:t xml:space="preserve"> (UIP).</w:t>
      </w:r>
      <w:r>
        <w:t xml:space="preserve"> UIP este responsabilă de activitățile zilnice de gestionare a proiectelor, inclusiv de achiziții publice, </w:t>
      </w:r>
      <w:r>
        <w:rPr>
          <w:rFonts w:hint="default"/>
          <w:lang w:val="ro-RO"/>
        </w:rPr>
        <w:t xml:space="preserve">management </w:t>
      </w:r>
      <w:r>
        <w:t xml:space="preserve">financiar, de respectarea garanțiilor de mediu și sociale, precum și de monitorizare și evaluare. Acesta servește, de asemenea, ca punct central de coordonare între </w:t>
      </w:r>
      <w:r>
        <w:rPr>
          <w:rFonts w:hint="default"/>
          <w:lang w:val="ro-RO"/>
        </w:rPr>
        <w:t>MCS</w:t>
      </w:r>
      <w:r>
        <w:t>, Administrația de Stat a Drumurilor (SRA), Banca Mondială și alte părți interesate relevante. UIP se asigură că activitățile proiectului sunt puse în aplicare în conformitate cu planul de angajament social și de mediu al proiectului, cu reglementările naționale și cu standardele sociale și de mediu (ESS) ale Băncii Mondiale.</w:t>
      </w:r>
    </w:p>
    <w:p w14:paraId="08EA782C">
      <w:pPr>
        <w:pStyle w:val="59"/>
        <w:spacing w:line="276" w:lineRule="auto"/>
        <w:jc w:val="both"/>
        <w:rPr>
          <w:rFonts w:ascii="Times New Roman" w:hAnsi="Times New Roman" w:cs="Times New Roman"/>
        </w:rPr>
      </w:pPr>
      <w:r>
        <w:t xml:space="preserve">UIP este susținută de o echipă de profesioniști cu experiență în operațiuni vamale, inginerie, management de mediu și social și administrație financiară. De asemenea, </w:t>
      </w:r>
      <w:r>
        <w:rPr>
          <w:rFonts w:hint="default"/>
          <w:lang w:val="ro-RO"/>
        </w:rPr>
        <w:t xml:space="preserve">unitatea creată </w:t>
      </w:r>
      <w:r>
        <w:t>va</w:t>
      </w:r>
      <w:r>
        <w:rPr>
          <w:rFonts w:hint="default"/>
          <w:lang w:val="ro-RO"/>
        </w:rPr>
        <w:t xml:space="preserve"> conlucra </w:t>
      </w:r>
      <w:r>
        <w:t>cu grupul de lucru și grupul tehnic</w:t>
      </w:r>
      <w:r>
        <w:rPr>
          <w:rFonts w:hint="default"/>
          <w:lang w:val="ro-RO"/>
        </w:rPr>
        <w:t>instituit</w:t>
      </w:r>
      <w:r>
        <w:t xml:space="preserve"> între Guvernul Republicii Moldova și România pentru a coordona investițiile în modernizarea frontierelor.</w:t>
      </w:r>
    </w:p>
    <w:p w14:paraId="2610F239">
      <w:pPr>
        <w:pStyle w:val="59"/>
        <w:spacing w:line="276" w:lineRule="auto"/>
        <w:jc w:val="both"/>
        <w:rPr>
          <w:rFonts w:ascii="Times New Roman" w:hAnsi="Times New Roman" w:cs="Times New Roman"/>
        </w:rPr>
      </w:pPr>
      <w:r>
        <w:t>Acest aranjament instituțional asigură că Serviciul Vamal al Republicii Moldova și partenerii săi pot realiza în mod eficient îmbunătățirile planificate în cadrul componentei B a proiectului, contribuind la facilitarea comerțului, dezvoltarea economică și integrarea regională.</w:t>
      </w:r>
    </w:p>
    <w:p w14:paraId="20D21550">
      <w:pPr>
        <w:spacing w:line="276" w:lineRule="auto"/>
        <w:jc w:val="both"/>
        <w:rPr>
          <w:rFonts w:ascii="Times New Roman" w:hAnsi="Times New Roman" w:cs="Times New Roman"/>
        </w:rPr>
      </w:pPr>
    </w:p>
    <w:p w14:paraId="3BC9222D">
      <w:pPr>
        <w:pStyle w:val="63"/>
        <w:spacing w:before="100" w:beforeAutospacing="1" w:after="100" w:afterAutospacing="1" w:line="257" w:lineRule="auto"/>
        <w:rPr>
          <w:rFonts w:ascii="Times New Roman" w:hAnsi="Times New Roman" w:cs="Times New Roman"/>
          <w:b/>
          <w:bCs/>
          <w:color w:val="auto"/>
          <w:sz w:val="22"/>
          <w:szCs w:val="22"/>
        </w:rPr>
      </w:pPr>
      <w:r>
        <w:t>Obligații de conformitate</w:t>
      </w:r>
    </w:p>
    <w:p w14:paraId="7DC3492A">
      <w:pPr>
        <w:pStyle w:val="59"/>
        <w:spacing w:line="276" w:lineRule="auto"/>
        <w:jc w:val="both"/>
        <w:rPr>
          <w:rFonts w:ascii="Times New Roman" w:hAnsi="Times New Roman" w:cs="Times New Roman"/>
        </w:rPr>
      </w:pPr>
      <w:r>
        <w:rPr>
          <w:rFonts w:hint="default"/>
          <w:lang w:val="ro-RO"/>
        </w:rPr>
        <w:t>MCS</w:t>
      </w:r>
      <w:r>
        <w:t xml:space="preserve">, în calitate de </w:t>
      </w:r>
      <w:r>
        <w:rPr>
          <w:rFonts w:hint="default"/>
          <w:lang w:val="ro-RO"/>
        </w:rPr>
        <w:t>Implementator</w:t>
      </w:r>
      <w:r>
        <w:t xml:space="preserve">, are obligația de a se asigura că toate activitățile </w:t>
      </w:r>
      <w:r>
        <w:rPr>
          <w:rFonts w:hint="default"/>
          <w:lang w:val="ro-RO"/>
        </w:rPr>
        <w:t>ralizate în  ” Zona de control vamal Giurgiulești existente (MD)”</w:t>
      </w:r>
      <w:r>
        <w:t xml:space="preserve"> respectă cadr</w:t>
      </w:r>
      <w:r>
        <w:rPr>
          <w:rFonts w:hint="default"/>
          <w:lang w:val="ro-RO"/>
        </w:rPr>
        <w:t xml:space="preserve">ul legal </w:t>
      </w:r>
      <w:r>
        <w:t xml:space="preserve">naționale, inclusiv protecția mediului, gestionarea deșeurilor și reglementările privind sănătatea și siguranța la locul de muncă. </w:t>
      </w:r>
      <w:r>
        <w:rPr>
          <w:rFonts w:hint="default"/>
          <w:lang w:val="ro-RO"/>
        </w:rPr>
        <w:t>MCS</w:t>
      </w:r>
      <w:r>
        <w:t xml:space="preserve"> trebuie, de asemenea, să se asigure că proiectul respectă standardele sociale și de mediu (ESS) ale Băncii Mondiale, astfel cum se prevede în Planul de angajament social și de mediu (ESCP) al proiectului. Aceste obligații includ asigurarea și menținerea autorizațiilor de mediu relevante, asigurarea implicării părților interesate și a mecanismelor de soluționare a reclamațiilor, precum și monitorizarea conformității pe tot parcursul punerii în aplicare. Contractantul, responsabil pentru lucrările fizice, trebuie să respecte </w:t>
      </w:r>
      <w:r>
        <w:rPr>
          <w:rFonts w:hint="default"/>
          <w:lang w:val="ro-RO"/>
        </w:rPr>
        <w:t xml:space="preserve">cadrul legal </w:t>
      </w:r>
      <w:r>
        <w:t>național</w:t>
      </w:r>
      <w:r>
        <w:rPr>
          <w:rFonts w:hint="default"/>
          <w:lang w:val="ro-RO"/>
        </w:rPr>
        <w:t xml:space="preserve">, precum și </w:t>
      </w:r>
      <w:r>
        <w:t xml:space="preserve">garanțiile sociale și de mediu. Aceasta include respectarea bunelor practici de construcție, punerea în aplicare a măsurilor de atenuare identificate în ESMP specifice amplasamentului, asigurarea siguranței lucrătorilor și a comunităților locale și reducerea la minimum a impactului asupra mediului, cum ar fi praful, zgomotul și deșeurile în timpul construcției. Atât </w:t>
      </w:r>
      <w:r>
        <w:rPr>
          <w:rFonts w:hint="default"/>
          <w:lang w:val="ro-RO"/>
        </w:rPr>
        <w:t>MCS</w:t>
      </w:r>
      <w:r>
        <w:t>, cât și contractantul au responsabilitatea comună de a se asigura că extinderea platformei se desfășoară într-un mod care promovează durabilitatea mediului, sănătatea și siguranța comunității, precum și conformitatea cu standardele și procedurile aplicabile.</w:t>
      </w:r>
    </w:p>
    <w:p w14:paraId="2E0F2C8D">
      <w:pPr>
        <w:spacing w:line="276" w:lineRule="auto"/>
        <w:jc w:val="both"/>
        <w:rPr>
          <w:rFonts w:ascii="Times New Roman" w:hAnsi="Times New Roman" w:cs="Times New Roman"/>
        </w:rPr>
      </w:pPr>
    </w:p>
    <w:p w14:paraId="2E30ECA5">
      <w:pPr>
        <w:pStyle w:val="64"/>
        <w:spacing w:before="100" w:beforeAutospacing="1" w:after="100" w:afterAutospacing="1" w:line="257" w:lineRule="auto"/>
        <w:rPr>
          <w:rFonts w:ascii="Times New Roman" w:hAnsi="Times New Roman" w:cs="Times New Roman"/>
          <w:b/>
          <w:bCs/>
          <w:color w:val="auto"/>
          <w:sz w:val="22"/>
          <w:szCs w:val="22"/>
        </w:rPr>
      </w:pPr>
      <w:r>
        <w:t>Respectarea Planului de angajament social și de mediu (ESCP)</w:t>
      </w:r>
    </w:p>
    <w:p w14:paraId="25F336AE">
      <w:pPr>
        <w:pStyle w:val="60"/>
        <w:spacing w:after="240" w:line="276" w:lineRule="auto"/>
        <w:jc w:val="both"/>
        <w:rPr>
          <w:rStyle w:val="14"/>
          <w:rFonts w:ascii="Times New Roman" w:hAnsi="Times New Roman"/>
          <w:sz w:val="22"/>
          <w:szCs w:val="22"/>
        </w:rPr>
      </w:pPr>
      <w:r>
        <w:t>Planul de angajament social și de mediu (ESCP) stabilește măsurile și acțiunile semnificative ale împrumutatului, documentele sau planurile specifice, precum și calendarul pentru fiecare dintre acestea. Împrumutatul</w:t>
      </w:r>
      <w:r>
        <w:rPr>
          <w:i/>
        </w:rPr>
        <w:t xml:space="preserve"> </w:t>
      </w:r>
      <w:r>
        <w:t>va respecta, de asemenea, dispozițiile oricăror alte documente E&amp;S necesare în cadrul FSE și menționate în PECVR, cum ar fi lista de verificare a planurilor de management social și de mediu (ESMP) și planurile de implicare a părților interesate (SEP), procedurile de gestionare a forței de muncă (LMP) și termenele specificate în documentele E&amp;S respective.</w:t>
      </w:r>
    </w:p>
    <w:p w14:paraId="7E8588A6">
      <w:pPr>
        <w:pStyle w:val="64"/>
        <w:spacing w:before="100" w:beforeAutospacing="1" w:after="100" w:afterAutospacing="1" w:line="257" w:lineRule="auto"/>
        <w:rPr>
          <w:rFonts w:ascii="Times New Roman" w:hAnsi="Times New Roman" w:cs="Times New Roman"/>
          <w:color w:val="auto"/>
          <w:sz w:val="22"/>
          <w:szCs w:val="22"/>
          <w:u w:val="single"/>
        </w:rPr>
      </w:pPr>
      <w:r>
        <w:t xml:space="preserve">Respectarea deciziei emise de Agenția de Mediu </w:t>
      </w:r>
    </w:p>
    <w:p w14:paraId="0519B795">
      <w:pPr>
        <w:pStyle w:val="65"/>
        <w:spacing w:line="276" w:lineRule="auto"/>
        <w:jc w:val="both"/>
        <w:rPr>
          <w:rFonts w:ascii="Times New Roman" w:hAnsi="Times New Roman" w:eastAsia="Times New Roman" w:cs="Times New Roman"/>
        </w:rPr>
      </w:pPr>
      <w:r>
        <w:t xml:space="preserve">Proiectul de extindere a Platformei </w:t>
      </w:r>
      <w:r>
        <w:rPr>
          <w:rFonts w:hint="default"/>
          <w:lang w:val="ro-RO"/>
        </w:rPr>
        <w:t xml:space="preserve"> zonei de control vamal Giurgiulești existente (MD)</w:t>
      </w:r>
      <w:r>
        <w:t xml:space="preserve"> a primit </w:t>
      </w:r>
      <w:r>
        <w:rPr>
          <w:b/>
        </w:rPr>
        <w:t>Acordul de mediu nr. 0191/447/2024 din 15.8.2024,</w:t>
      </w:r>
      <w:r>
        <w:t xml:space="preserve"> emis de Agenția de Mediu a Republicii Moldova. Prezenta decizie stabilește condițiile juridice și de mediu care trebuie îndeplinite în timpul construirii și exploatării platformei. Serviciul Vamal din Moldova (MCS), în calitate </w:t>
      </w:r>
      <w:r>
        <w:rPr>
          <w:rFonts w:hint="default"/>
          <w:lang w:val="ro-RO"/>
        </w:rPr>
        <w:t>Autoritate Contractantă</w:t>
      </w:r>
      <w:r>
        <w:t>, și contractantul, în calitate de executant al lucrărilor fizice, sunt obligați să respecte cu strictețe dispozițiile prezentei decizii.</w:t>
      </w:r>
    </w:p>
    <w:p w14:paraId="46A48C7F">
      <w:pPr>
        <w:pStyle w:val="65"/>
        <w:spacing w:line="276" w:lineRule="auto"/>
        <w:jc w:val="both"/>
        <w:rPr>
          <w:rFonts w:ascii="Times New Roman" w:hAnsi="Times New Roman" w:eastAsia="Times New Roman" w:cs="Times New Roman"/>
        </w:rPr>
      </w:pPr>
      <w:r>
        <w:t>Decizia Agenției de Mediu prezintă măsuri specifice de atenuare a impactului social și de mediu, inclusiv punerea în aplicare a unei stații biologice de epurare a apelor uzate (WWTP) cu o capacitate de 15m3/24h, echipată cu separatoare de grăsimi și hidrocarburi, precum și a unei infrastructuri de drenare a apelor pluviale pentru a preveni deversările accidentale de petrol și combustibil. În plus, decizia prevede respectarea standardelor naționale privind zgomotul și emisiile de praf, proceduri adecvate de colectare și eliminare a deșeurilor și refacerea zonelor afectate după construcție.</w:t>
      </w:r>
    </w:p>
    <w:p w14:paraId="31AEB4E9">
      <w:pPr>
        <w:pStyle w:val="65"/>
        <w:spacing w:line="276" w:lineRule="auto"/>
        <w:jc w:val="both"/>
        <w:rPr>
          <w:rFonts w:ascii="Times New Roman" w:hAnsi="Times New Roman" w:eastAsia="Times New Roman" w:cs="Times New Roman"/>
        </w:rPr>
      </w:pPr>
      <w:r>
        <w:rPr>
          <w:rFonts w:hint="default"/>
          <w:lang w:val="ro-RO"/>
        </w:rPr>
        <w:t>MCS</w:t>
      </w:r>
      <w:r>
        <w:t xml:space="preserve"> și contractantul trebuie să monitorizeze și să raporteze periodic cu privire la respectarea acestor măsuri. Unitatea de implementare a proiectului (UIP) din cadrul </w:t>
      </w:r>
      <w:r>
        <w:rPr>
          <w:rFonts w:hint="default"/>
          <w:lang w:val="ro-RO"/>
        </w:rPr>
        <w:t xml:space="preserve">MCS </w:t>
      </w:r>
      <w:r>
        <w:t>se va asigura că contractantul pune în aplicare în mod eficace aceste obligații și va colabora cu Agenția de Mediu pentru inspecții și revizuiri periodice. Aceste acțiuni sunt esențiale pentru a asigura alinierea proiectului la standardele naționale de mediu și pentru a reduce la minimum impactul potențial asupra comunităților locale și a resurselor naturale.</w:t>
      </w:r>
    </w:p>
    <w:p w14:paraId="4CA02871">
      <w:pPr>
        <w:spacing w:line="276" w:lineRule="auto"/>
        <w:jc w:val="both"/>
        <w:rPr>
          <w:rFonts w:ascii="Times New Roman" w:hAnsi="Times New Roman" w:cs="Times New Roman"/>
        </w:rPr>
      </w:pPr>
    </w:p>
    <w:p w14:paraId="3D0E553B">
      <w:pPr>
        <w:pStyle w:val="59"/>
        <w:rPr>
          <w:rFonts w:ascii="Times New Roman" w:hAnsi="Times New Roman" w:cs="Times New Roman"/>
        </w:rPr>
      </w:pPr>
      <w:r>
        <w:br w:type="page"/>
      </w:r>
    </w:p>
    <w:p w14:paraId="33B6C71B">
      <w:pPr>
        <w:spacing w:line="276" w:lineRule="auto"/>
        <w:jc w:val="both"/>
        <w:rPr>
          <w:rFonts w:ascii="Times New Roman" w:hAnsi="Times New Roman" w:cs="Times New Roman"/>
        </w:rPr>
      </w:pPr>
    </w:p>
    <w:p w14:paraId="42414D46">
      <w:pPr>
        <w:pStyle w:val="57"/>
        <w:spacing w:line="276" w:lineRule="auto"/>
        <w:jc w:val="both"/>
        <w:rPr>
          <w:rFonts w:ascii="Times New Roman" w:hAnsi="Times New Roman" w:cs="Times New Roman"/>
          <w:b/>
          <w:bCs/>
        </w:rPr>
      </w:pPr>
      <w:r>
        <w:t>Prezentarea proiectului</w:t>
      </w:r>
    </w:p>
    <w:p w14:paraId="77C6E691">
      <w:pPr>
        <w:spacing w:line="276" w:lineRule="auto"/>
        <w:jc w:val="both"/>
        <w:rPr>
          <w:rFonts w:ascii="Times New Roman" w:hAnsi="Times New Roman" w:cs="Times New Roman"/>
        </w:rPr>
      </w:pPr>
    </w:p>
    <w:p w14:paraId="628E5147">
      <w:pPr>
        <w:pStyle w:val="66"/>
        <w:spacing w:line="276" w:lineRule="auto"/>
        <w:jc w:val="center"/>
        <w:rPr>
          <w:rFonts w:ascii="Times New Roman" w:hAnsi="Times New Roman" w:cs="Times New Roman"/>
        </w:rPr>
      </w:pPr>
      <w:r>
        <w:drawing>
          <wp:inline distT="0" distB="0" distL="0" distR="0">
            <wp:extent cx="2379980" cy="3539490"/>
            <wp:effectExtent l="0" t="0" r="1270" b="3810"/>
            <wp:docPr id="1485690216" name="Imagin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90216" name="Imaginea 1"/>
                    <pic:cNvPicPr>
                      <a:picLocks noChangeAspect="1" noChangeArrowheads="1"/>
                    </pic:cNvPicPr>
                  </pic:nvPicPr>
                  <pic:blipFill>
                    <a:blip r:embed="rId9" cstate="email"/>
                    <a:srcRect/>
                    <a:stretch>
                      <a:fillRect/>
                    </a:stretch>
                  </pic:blipFill>
                  <pic:spPr>
                    <a:xfrm>
                      <a:off x="0" y="0"/>
                      <a:ext cx="2402563" cy="3573178"/>
                    </a:xfrm>
                    <a:prstGeom prst="rect">
                      <a:avLst/>
                    </a:prstGeom>
                    <a:noFill/>
                  </pic:spPr>
                </pic:pic>
              </a:graphicData>
            </a:graphic>
          </wp:inline>
        </w:drawing>
      </w:r>
    </w:p>
    <w:p w14:paraId="2EA916CF">
      <w:pPr>
        <w:pStyle w:val="59"/>
        <w:spacing w:line="276" w:lineRule="auto"/>
        <w:jc w:val="both"/>
        <w:rPr>
          <w:rFonts w:ascii="Times New Roman" w:hAnsi="Times New Roman" w:cs="Times New Roman"/>
        </w:rPr>
      </w:pPr>
      <w:r>
        <w:rPr>
          <w:b/>
        </w:rPr>
        <w:t xml:space="preserve">Locația și caracteristicile sitului: </w:t>
      </w:r>
      <w:r>
        <w:t xml:space="preserve">Proiectul este situat în partea de sud a Republicii Moldova, în apropierea </w:t>
      </w:r>
      <w:r>
        <w:rPr>
          <w:b/>
        </w:rPr>
        <w:t>satului Giurgiulești</w:t>
      </w:r>
      <w:r>
        <w:t xml:space="preserve">, în </w:t>
      </w:r>
      <w:r>
        <w:rPr>
          <w:b/>
        </w:rPr>
        <w:t xml:space="preserve"> raionulCahul</w:t>
      </w:r>
      <w:r>
        <w:t xml:space="preserve">, de-a lungul </w:t>
      </w:r>
      <w:r>
        <w:rPr>
          <w:b/>
        </w:rPr>
        <w:t>drumului național R34</w:t>
      </w:r>
      <w:r>
        <w:t xml:space="preserve">. </w:t>
      </w:r>
      <w:r>
        <w:rPr>
          <w:rFonts w:hint="default"/>
          <w:lang w:val="ro-RO"/>
        </w:rPr>
        <w:t xml:space="preserve">Amplasamentul </w:t>
      </w:r>
      <w:r>
        <w:t xml:space="preserve">este situat </w:t>
      </w:r>
      <w:r>
        <w:rPr>
          <w:b/>
        </w:rPr>
        <w:t>la aproximativ 470 de metri de râul Prut</w:t>
      </w:r>
      <w:r>
        <w:t xml:space="preserve"> și este înconjurat de terenuri agricole, pășuni și parcele împădurite. Nu există zone de mediu sensibile sau protejate în imediata vecinătate. Cele mai apropiate clădiri rezidențiale din satul Giurgiulești se află la o distanță de </w:t>
      </w:r>
      <w:r>
        <w:rPr>
          <w:b/>
        </w:rPr>
        <w:t>780 de metri</w:t>
      </w:r>
      <w:r>
        <w:t xml:space="preserve"> și nu vor fi afectate direct. Zona platformei beneficiază de un deal natural care acționează ca o barieră de relief spre vest.</w:t>
      </w:r>
    </w:p>
    <w:p w14:paraId="27DCDEB0">
      <w:pPr>
        <w:pStyle w:val="59"/>
        <w:spacing w:line="276" w:lineRule="auto"/>
        <w:jc w:val="both"/>
        <w:rPr>
          <w:rFonts w:ascii="Times New Roman" w:hAnsi="Times New Roman" w:cs="Times New Roman"/>
        </w:rPr>
      </w:pPr>
      <w:r>
        <w:rPr>
          <w:b/>
        </w:rPr>
        <w:t>Dreptul de proprietate și condițiile inițiale:</w:t>
      </w:r>
      <w:r>
        <w:t xml:space="preserve"> Platforma</w:t>
      </w:r>
      <w:r>
        <w:rPr>
          <w:rFonts w:hint="default"/>
          <w:lang w:val="ro-RO"/>
        </w:rPr>
        <w:t xml:space="preserve"> zonei </w:t>
      </w:r>
      <w:r>
        <w:t xml:space="preserve"> de control vamal existentă are o suprafață totală de aproximativ </w:t>
      </w:r>
      <w:r>
        <w:rPr>
          <w:b/>
        </w:rPr>
        <w:t>1,2 hectare.</w:t>
      </w:r>
      <w:r>
        <w:t xml:space="preserve"> Jumătate din platformă este acoperită cu o suprafață de beton, în timp ce cealaltă jumătate este împrejmuită și echipată cu iluminare și o cale de acces. Terenul a fost transferat în </w:t>
      </w:r>
      <w:r>
        <w:rPr>
          <w:b/>
        </w:rPr>
        <w:t>2018</w:t>
      </w:r>
      <w:r>
        <w:t xml:space="preserve"> de la Administrația Publică Locală Giurgiulești în proprietatea statului, gestionat de Ministerul Finanțelor și Serviciul Vamal din Moldova (MCS).</w:t>
      </w:r>
    </w:p>
    <w:p w14:paraId="5F57D775">
      <w:pPr>
        <w:pStyle w:val="59"/>
        <w:spacing w:line="276" w:lineRule="auto"/>
        <w:jc w:val="both"/>
        <w:rPr>
          <w:rFonts w:ascii="Times New Roman" w:hAnsi="Times New Roman" w:cs="Times New Roman"/>
          <w:b/>
          <w:bCs/>
        </w:rPr>
      </w:pPr>
      <w:r>
        <w:rPr>
          <w:b/>
        </w:rPr>
        <w:t xml:space="preserve">Context și justificarea proiectului: </w:t>
      </w:r>
      <w:r>
        <w:t>Necesitatea acestei platforme a apărut din cauza mai multor plângeri din partea populației locale cu privire la camioanele grele parcate de-a lungul drumului principal (</w:t>
      </w:r>
      <w:r>
        <w:rPr>
          <w:b/>
        </w:rPr>
        <w:t>R34</w:t>
      </w:r>
      <w:r>
        <w:t xml:space="preserve">) care treceau prin sat. </w:t>
      </w:r>
      <w:r>
        <w:rPr>
          <w:b/>
        </w:rPr>
        <w:t>Extinderea și modernizarea platformei au devenit esențiale pentru a răspunde cererii tot mai mari de tranzit de marfă, în special datorită creșterii traficului legat de situația din Ucraina.</w:t>
      </w:r>
    </w:p>
    <w:p w14:paraId="47F19552">
      <w:pPr>
        <w:pStyle w:val="59"/>
        <w:spacing w:line="276" w:lineRule="auto"/>
        <w:jc w:val="both"/>
        <w:rPr>
          <w:rFonts w:ascii="Times New Roman" w:hAnsi="Times New Roman" w:cs="Times New Roman"/>
        </w:rPr>
      </w:pPr>
      <w:r>
        <w:rPr>
          <w:b/>
          <w:bCs/>
        </w:rPr>
        <w:t>Intervenții d</w:t>
      </w:r>
      <w:r>
        <w:rPr>
          <w:b/>
        </w:rPr>
        <w:t xml:space="preserve">e proiect preconizate: </w:t>
      </w:r>
      <w:r>
        <w:t xml:space="preserve">Pentru a utiliza pe deplin suprafața alocată de </w:t>
      </w:r>
      <w:r>
        <w:rPr>
          <w:b/>
        </w:rPr>
        <w:t xml:space="preserve">aproximativ 1,27 hectare </w:t>
      </w:r>
      <w:r>
        <w:rPr>
          <w:b w:val="0"/>
          <w:bCs/>
        </w:rPr>
        <w:t xml:space="preserve">și </w:t>
      </w:r>
      <w:r>
        <w:t>pentru a îmbunătăți operațiunile platformei, proiectul va implementa următoarele lucrări:</w:t>
      </w:r>
    </w:p>
    <w:p w14:paraId="19FA4142">
      <w:pPr>
        <w:pStyle w:val="59"/>
        <w:numPr>
          <w:ilvl w:val="0"/>
          <w:numId w:val="1"/>
        </w:numPr>
        <w:spacing w:line="276" w:lineRule="auto"/>
        <w:jc w:val="both"/>
        <w:rPr>
          <w:rFonts w:ascii="Times New Roman" w:hAnsi="Times New Roman" w:cs="Times New Roman"/>
        </w:rPr>
      </w:pPr>
      <w:r>
        <w:rPr>
          <w:rFonts w:hint="default"/>
          <w:lang w:val="ro-RO"/>
        </w:rPr>
        <w:t>Betonare</w:t>
      </w:r>
      <w:r>
        <w:t>a unei suprafețe suplimentare de 0,65 hectare din suprafața platformei.</w:t>
      </w:r>
    </w:p>
    <w:p w14:paraId="30A64BFB">
      <w:pPr>
        <w:pStyle w:val="59"/>
        <w:numPr>
          <w:ilvl w:val="0"/>
          <w:numId w:val="1"/>
        </w:numPr>
        <w:spacing w:line="276" w:lineRule="auto"/>
        <w:jc w:val="both"/>
        <w:rPr>
          <w:rFonts w:ascii="Times New Roman" w:hAnsi="Times New Roman" w:cs="Times New Roman"/>
        </w:rPr>
      </w:pPr>
      <w:r>
        <w:t>Achiziționarea și instalarea a două containere echipate cu toalete și dușuri pentru șoferi.</w:t>
      </w:r>
    </w:p>
    <w:p w14:paraId="76BDAF33">
      <w:pPr>
        <w:pStyle w:val="59"/>
        <w:numPr>
          <w:ilvl w:val="0"/>
          <w:numId w:val="1"/>
        </w:numPr>
        <w:spacing w:line="276" w:lineRule="auto"/>
        <w:jc w:val="both"/>
        <w:rPr>
          <w:rFonts w:ascii="Times New Roman" w:hAnsi="Times New Roman" w:cs="Times New Roman"/>
        </w:rPr>
      </w:pPr>
      <w:r>
        <w:t>Reconstrucția stației de toaletă pentru integrarea noilor containere sanitare.</w:t>
      </w:r>
    </w:p>
    <w:p w14:paraId="65F7419E">
      <w:pPr>
        <w:pStyle w:val="59"/>
        <w:numPr>
          <w:ilvl w:val="0"/>
          <w:numId w:val="1"/>
        </w:numPr>
        <w:spacing w:line="276" w:lineRule="auto"/>
        <w:jc w:val="both"/>
        <w:rPr>
          <w:rFonts w:ascii="Times New Roman" w:hAnsi="Times New Roman" w:cs="Times New Roman"/>
        </w:rPr>
      </w:pPr>
      <w:r>
        <w:t>Achiziționarea unui cântar de camion pentru cântărirea vehiculelor.</w:t>
      </w:r>
    </w:p>
    <w:p w14:paraId="599D419C">
      <w:pPr>
        <w:pStyle w:val="59"/>
        <w:numPr>
          <w:ilvl w:val="0"/>
          <w:numId w:val="1"/>
        </w:numPr>
        <w:spacing w:line="276" w:lineRule="auto"/>
        <w:jc w:val="both"/>
        <w:rPr>
          <w:rFonts w:ascii="Times New Roman" w:hAnsi="Times New Roman" w:cs="Times New Roman"/>
        </w:rPr>
      </w:pPr>
      <w:r>
        <w:t xml:space="preserve">Construirea unui </w:t>
      </w:r>
      <w:r>
        <w:rPr>
          <w:rFonts w:hint="default"/>
          <w:lang w:val="ro-RO"/>
        </w:rPr>
        <w:t xml:space="preserve">fântâni artezene </w:t>
      </w:r>
      <w:r>
        <w:t>pentru a asigura o alimentare fiabilă cu apă.</w:t>
      </w:r>
    </w:p>
    <w:p w14:paraId="00EAD724">
      <w:pPr>
        <w:pStyle w:val="59"/>
        <w:numPr>
          <w:ilvl w:val="0"/>
          <w:numId w:val="1"/>
        </w:numPr>
        <w:spacing w:line="276" w:lineRule="auto"/>
        <w:jc w:val="both"/>
        <w:rPr>
          <w:rFonts w:ascii="Times New Roman" w:hAnsi="Times New Roman" w:cs="Times New Roman"/>
        </w:rPr>
      </w:pPr>
      <w:r>
        <w:t xml:space="preserve">Instalarea unui sistem de </w:t>
      </w:r>
      <w:r>
        <w:rPr>
          <w:rFonts w:hint="default"/>
          <w:lang w:val="ro-RO"/>
        </w:rPr>
        <w:t xml:space="preserve">captare </w:t>
      </w:r>
      <w:r>
        <w:t>a apei pluviale pentru gestionarea apei pluviale și prevenirea inundațiilor.</w:t>
      </w:r>
    </w:p>
    <w:p w14:paraId="4C4C2EE8">
      <w:pPr>
        <w:pStyle w:val="59"/>
        <w:numPr>
          <w:ilvl w:val="0"/>
          <w:numId w:val="1"/>
        </w:numPr>
        <w:spacing w:line="276" w:lineRule="auto"/>
        <w:jc w:val="both"/>
        <w:rPr>
          <w:rFonts w:ascii="Times New Roman" w:hAnsi="Times New Roman" w:cs="Times New Roman"/>
        </w:rPr>
      </w:pPr>
      <w:r>
        <w:t>Amenajarea teritoriului pentru a reduce praful și a îmbunătăți estetica.</w:t>
      </w:r>
    </w:p>
    <w:p w14:paraId="21B06848">
      <w:pPr>
        <w:pStyle w:val="59"/>
        <w:numPr>
          <w:ilvl w:val="0"/>
          <w:numId w:val="1"/>
        </w:numPr>
        <w:spacing w:line="276" w:lineRule="auto"/>
        <w:jc w:val="both"/>
        <w:rPr>
          <w:rFonts w:ascii="Times New Roman" w:hAnsi="Times New Roman" w:cs="Times New Roman"/>
        </w:rPr>
      </w:pPr>
      <w:r>
        <w:t>Marcarea și semnalizarea rutieră pentru a îmbunătăți siguranța traficului intern.</w:t>
      </w:r>
    </w:p>
    <w:p w14:paraId="079D439D">
      <w:pPr>
        <w:pStyle w:val="59"/>
        <w:numPr>
          <w:ilvl w:val="0"/>
          <w:numId w:val="1"/>
        </w:numPr>
        <w:spacing w:line="276" w:lineRule="auto"/>
        <w:jc w:val="both"/>
        <w:rPr>
          <w:rFonts w:ascii="Times New Roman" w:hAnsi="Times New Roman" w:cs="Times New Roman"/>
        </w:rPr>
      </w:pPr>
      <w:r>
        <w:t>Restaurarea sistemului de iluminat și achiziționarea unui generator pentru a asigura funcționarea continuă.</w:t>
      </w:r>
    </w:p>
    <w:p w14:paraId="37378D04">
      <w:pPr>
        <w:pStyle w:val="59"/>
        <w:numPr>
          <w:ilvl w:val="0"/>
          <w:numId w:val="1"/>
        </w:numPr>
        <w:spacing w:line="276" w:lineRule="auto"/>
        <w:jc w:val="both"/>
        <w:rPr>
          <w:rFonts w:ascii="Times New Roman" w:hAnsi="Times New Roman" w:cs="Times New Roman"/>
        </w:rPr>
      </w:pPr>
      <w:r>
        <w:t>Punerea în aplicare a unor panouri electronice de informare și a unui sistem electronic de așteptare pentru a îmbunătăți gestionarea traficului și a reduce timpul de așteptare.</w:t>
      </w:r>
    </w:p>
    <w:p w14:paraId="6929A805">
      <w:pPr>
        <w:pStyle w:val="59"/>
        <w:spacing w:line="276" w:lineRule="auto"/>
        <w:jc w:val="both"/>
        <w:rPr>
          <w:rFonts w:ascii="Times New Roman" w:hAnsi="Times New Roman" w:cs="Times New Roman"/>
        </w:rPr>
      </w:pPr>
      <w:r>
        <w:rPr>
          <w:b/>
          <w:bCs/>
        </w:rPr>
        <w:t>Îmbunătățir</w:t>
      </w:r>
      <w:r>
        <w:t xml:space="preserve">i </w:t>
      </w:r>
      <w:r>
        <w:rPr>
          <w:b/>
        </w:rPr>
        <w:t xml:space="preserve">sanitare și de mediu: </w:t>
      </w:r>
      <w:r>
        <w:t>Extinderea va îmbunătăți în mod semnificativ condițiile sanitare pentru personal și șoferi, inclusiv cabine de duș  și  instalați</w:t>
      </w:r>
      <w:r>
        <w:rPr>
          <w:rFonts w:hint="default"/>
          <w:lang w:val="ro-RO"/>
        </w:rPr>
        <w:t>le</w:t>
      </w:r>
      <w:r>
        <w:t xml:space="preserve">i sanitare </w:t>
      </w:r>
      <w:r>
        <w:rPr>
          <w:rFonts w:hint="default"/>
          <w:lang w:val="ro-RO"/>
        </w:rPr>
        <w:t>cuprinse in proiectul de execuție realizat.</w:t>
      </w:r>
      <w:r>
        <w:t xml:space="preserve"> Va fi instalată o stație de epurare biologică a apelor uzate (WWTP) cu o capacitate de 15m3/24h, astfel cum se prevede în </w:t>
      </w:r>
      <w:r>
        <w:rPr>
          <w:b/>
        </w:rPr>
        <w:t>Acordul de mediu nr. 0191/447/2024 din 15.8.2024.</w:t>
      </w:r>
      <w:r>
        <w:t xml:space="preserve"> În plus, va fi integrat un separator de hidrocarburi pentru a gestiona deversările accidentale și pentru a respecta standardele naționale de protecție a mediului.</w:t>
      </w:r>
    </w:p>
    <w:p w14:paraId="7E1FB249">
      <w:pPr>
        <w:pStyle w:val="59"/>
        <w:spacing w:line="276" w:lineRule="auto"/>
        <w:jc w:val="both"/>
        <w:rPr>
          <w:rFonts w:ascii="Times New Roman" w:hAnsi="Times New Roman" w:cs="Times New Roman"/>
        </w:rPr>
      </w:pPr>
      <w:r>
        <w:rPr>
          <w:rFonts w:hint="default"/>
          <w:b/>
          <w:bCs/>
          <w:lang w:val="ro-RO"/>
        </w:rPr>
        <w:t>Actualizarea proiectului și Statutul permisiv</w:t>
      </w:r>
      <w:r>
        <w:rPr>
          <w:b/>
        </w:rPr>
        <w:t xml:space="preserve">: </w:t>
      </w:r>
      <w:r>
        <w:t xml:space="preserve">Actualizarea </w:t>
      </w:r>
      <w:r>
        <w:rPr>
          <w:rFonts w:hint="default"/>
          <w:lang w:val="ro-RO"/>
        </w:rPr>
        <w:t xml:space="preserve">proectului pentru extinderea </w:t>
      </w:r>
      <w:r>
        <w:t>platformei este în curs de desfășurare. Autorizația de mediu pentru proiect a fost deja eliberată. Datele preliminare de la punctul vamal Giurgiulești estimează că platforma va gestiona 60-120 de camioane pe zi, cu potențiale vârfuri de până la 300 de camioane în circumstanțe speciale.</w:t>
      </w:r>
    </w:p>
    <w:p w14:paraId="21079EFF">
      <w:pPr>
        <w:pStyle w:val="59"/>
        <w:spacing w:line="276" w:lineRule="auto"/>
        <w:jc w:val="both"/>
        <w:rPr>
          <w:rFonts w:ascii="Times New Roman" w:hAnsi="Times New Roman" w:cs="Times New Roman"/>
        </w:rPr>
      </w:pPr>
      <w:r>
        <w:t>Această inițiativă de extindere și modernizare va asigura operațiuni vamale eficiente, va atenua preocupările comunității și va respecta toate obligațiile de management social și de mediu aplicabile, astfel cum se subliniază în lista de verificare ESMP.</w:t>
      </w:r>
    </w:p>
    <w:p w14:paraId="3EE7891A">
      <w:pPr>
        <w:pStyle w:val="59"/>
        <w:spacing w:line="276" w:lineRule="auto"/>
        <w:jc w:val="both"/>
        <w:rPr>
          <w:rFonts w:ascii="Times New Roman" w:hAnsi="Times New Roman" w:cs="Times New Roman"/>
        </w:rPr>
      </w:pPr>
      <w:r>
        <w:t xml:space="preserve">În cadrul proiectului, </w:t>
      </w:r>
      <w:r>
        <w:rPr>
          <w:rFonts w:hint="default"/>
          <w:lang w:val="ro-RO"/>
        </w:rPr>
        <w:t xml:space="preserve">fântâna arteziană propusă </w:t>
      </w:r>
      <w:r>
        <w:t xml:space="preserve"> va fi forat</w:t>
      </w:r>
      <w:r>
        <w:rPr>
          <w:lang w:val="ro-RO"/>
        </w:rPr>
        <w:t>ă</w:t>
      </w:r>
      <w:r>
        <w:rPr>
          <w:rFonts w:hint="default"/>
          <w:lang w:val="ro-RO"/>
        </w:rPr>
        <w:t xml:space="preserve"> </w:t>
      </w:r>
      <w:r>
        <w:rPr>
          <w:b/>
          <w:i/>
        </w:rPr>
        <w:t>pentru alimentarea cu apă.</w:t>
      </w:r>
      <w:r>
        <w:t xml:space="preserve"> </w:t>
      </w:r>
    </w:p>
    <w:p w14:paraId="7902F1DB">
      <w:pPr>
        <w:pStyle w:val="59"/>
        <w:spacing w:line="276" w:lineRule="auto"/>
        <w:jc w:val="both"/>
        <w:rPr>
          <w:rFonts w:ascii="Times New Roman" w:hAnsi="Times New Roman" w:cs="Times New Roman"/>
        </w:rPr>
      </w:pPr>
      <w:r>
        <w:t xml:space="preserve">Alimentarea cu apă a </w:t>
      </w:r>
      <w:r>
        <w:rPr>
          <w:rFonts w:hint="default"/>
          <w:lang w:val="ro-RO"/>
        </w:rPr>
        <w:t>amplasamentului</w:t>
      </w:r>
      <w:r>
        <w:t xml:space="preserve"> va fi asigurată din fântâna arteziană planificată, cu un debit de aproximativ 10 m3/24 ore. </w:t>
      </w:r>
    </w:p>
    <w:p w14:paraId="66C68376">
      <w:pPr>
        <w:pStyle w:val="59"/>
        <w:spacing w:line="276" w:lineRule="auto"/>
        <w:jc w:val="both"/>
        <w:rPr>
          <w:rFonts w:ascii="Times New Roman" w:hAnsi="Times New Roman" w:cs="Times New Roman"/>
        </w:rPr>
      </w:pPr>
      <w:r>
        <w:t xml:space="preserve">Construcția </w:t>
      </w:r>
      <w:r>
        <w:rPr>
          <w:rFonts w:hint="default"/>
          <w:lang w:val="ro-RO"/>
        </w:rPr>
        <w:t xml:space="preserve">acesteia </w:t>
      </w:r>
      <w:r>
        <w:t>este planificată în cadrul proiectului de EXTINDEREA</w:t>
      </w:r>
      <w:r>
        <w:rPr>
          <w:rFonts w:hint="default"/>
          <w:lang w:val="ro-RO"/>
        </w:rPr>
        <w:t>/DEZVOLTAREA ZONEI DE CONTROL VAMAL GIURGIULEȘTI EXISTENTE (MD) ș</w:t>
      </w:r>
      <w:r>
        <w:t>i, destinat alimentării cu apă tehnică a dușurilor și blocurilor sanitare. Autorizația de mediu confirmă faptul că sonda se află în faza de planificare și necesită o zonă de protecție sanitară în conformitate cu Hotărârea Guvernului nr. 949/2013.</w:t>
      </w:r>
    </w:p>
    <w:p w14:paraId="68AE3E6D">
      <w:pPr>
        <w:pStyle w:val="59"/>
        <w:spacing w:line="276" w:lineRule="auto"/>
        <w:jc w:val="both"/>
        <w:rPr>
          <w:rFonts w:ascii="Times New Roman" w:hAnsi="Times New Roman" w:cs="Times New Roman"/>
        </w:rPr>
      </w:pPr>
      <w:r>
        <w:t>Agenția pentru Geologie și Resurse Minerale a aprobat coordonarea proiectării sondei, indicând faptul că un studiu hidrogeologic separat și proiectarea proiectului vor fi elaborate pe baza condițiilor specifice sitului.</w:t>
      </w:r>
    </w:p>
    <w:p w14:paraId="7F9DBF66">
      <w:pPr>
        <w:pStyle w:val="59"/>
        <w:spacing w:line="276" w:lineRule="auto"/>
        <w:jc w:val="both"/>
        <w:rPr>
          <w:rFonts w:ascii="Times New Roman" w:hAnsi="Times New Roman" w:cs="Times New Roman"/>
        </w:rPr>
      </w:pPr>
      <w:r>
        <w:t>Proiectarea sondei va trebui să fie supusă revizuirii și conformității cu standardele naționale privind protecția apelor subterane și utilizarea rațională.</w:t>
      </w:r>
    </w:p>
    <w:p w14:paraId="12C78580">
      <w:pPr>
        <w:spacing w:line="276" w:lineRule="auto"/>
        <w:jc w:val="both"/>
        <w:rPr>
          <w:rFonts w:ascii="Times New Roman" w:hAnsi="Times New Roman" w:cs="Times New Roman"/>
        </w:rPr>
      </w:pPr>
    </w:p>
    <w:p w14:paraId="7B4B9E61">
      <w:pPr>
        <w:pStyle w:val="59"/>
        <w:spacing w:line="276" w:lineRule="auto"/>
        <w:jc w:val="both"/>
        <w:rPr>
          <w:rFonts w:ascii="Times New Roman" w:hAnsi="Times New Roman" w:cs="Times New Roman"/>
        </w:rPr>
      </w:pPr>
      <w:r>
        <w:rPr>
          <w:b/>
          <w:i/>
        </w:rPr>
        <w:t>Energia electrică este disponibilă la fața locului.</w:t>
      </w:r>
      <w:r>
        <w:t xml:space="preserve"> </w:t>
      </w:r>
    </w:p>
    <w:p w14:paraId="2CCFCA0D">
      <w:pPr>
        <w:pStyle w:val="59"/>
        <w:spacing w:line="276" w:lineRule="auto"/>
        <w:jc w:val="both"/>
        <w:rPr>
          <w:rFonts w:ascii="Times New Roman" w:hAnsi="Times New Roman" w:cs="Times New Roman"/>
        </w:rPr>
      </w:pPr>
      <w:r>
        <w:t>Alimentarea cu energie electrică a zonei de control vamal Giurgiulești va fi asigurată printr-un sistem cu două surse:</w:t>
      </w:r>
    </w:p>
    <w:p w14:paraId="3A871D54">
      <w:pPr>
        <w:pStyle w:val="59"/>
        <w:numPr>
          <w:ilvl w:val="0"/>
          <w:numId w:val="2"/>
        </w:numPr>
        <w:spacing w:line="276" w:lineRule="auto"/>
        <w:jc w:val="both"/>
        <w:rPr>
          <w:rFonts w:ascii="Times New Roman" w:hAnsi="Times New Roman" w:cs="Times New Roman"/>
        </w:rPr>
      </w:pPr>
      <w:r>
        <w:t>Alimentarea primară va fi conectată la rețeaua națională de energie electrică, asigurând o capacitate suficientă pentru iluminatul amplasamentului, instalații sanitare, stația de tratare biologică, sisteme de supraveghere și alte echipamente.</w:t>
      </w:r>
    </w:p>
    <w:p w14:paraId="6C7CF9BA">
      <w:pPr>
        <w:pStyle w:val="59"/>
        <w:numPr>
          <w:ilvl w:val="0"/>
          <w:numId w:val="2"/>
        </w:numPr>
        <w:spacing w:line="276" w:lineRule="auto"/>
        <w:jc w:val="both"/>
        <w:rPr>
          <w:rFonts w:ascii="Times New Roman" w:hAnsi="Times New Roman" w:cs="Times New Roman"/>
        </w:rPr>
      </w:pPr>
      <w:r>
        <w:t>Un generator diesel de rezervă cu o capacitate nominală de 50 kW va fi instalat la fața locului pentru a menține energia neîntreruptă în timpul întreruperilor rețelei. Generatorul este proiectat pentru a acoperi sarcina nominală totală la fața locului de aproximativ 44 kW/h.</w:t>
      </w:r>
    </w:p>
    <w:p w14:paraId="11854916">
      <w:pPr>
        <w:pStyle w:val="59"/>
        <w:numPr>
          <w:ilvl w:val="0"/>
          <w:numId w:val="2"/>
        </w:numPr>
        <w:spacing w:line="276" w:lineRule="auto"/>
        <w:jc w:val="both"/>
        <w:rPr>
          <w:rFonts w:ascii="Times New Roman" w:hAnsi="Times New Roman" w:cs="Times New Roman"/>
        </w:rPr>
      </w:pPr>
      <w:r>
        <w:t>Instalația include renovarea sistemului electric intern, cablarea structurată (video/internet) și respectarea tuturor standardelor naționale privind siguranța împotriva incendiilor și instalațiile electrice.</w:t>
      </w:r>
    </w:p>
    <w:p w14:paraId="0B63174A">
      <w:pPr>
        <w:spacing w:line="276" w:lineRule="auto"/>
        <w:jc w:val="both"/>
        <w:rPr>
          <w:rFonts w:ascii="Times New Roman" w:hAnsi="Times New Roman" w:cs="Times New Roman"/>
        </w:rPr>
      </w:pPr>
    </w:p>
    <w:p w14:paraId="62339DDE">
      <w:pPr>
        <w:pStyle w:val="59"/>
        <w:spacing w:line="276" w:lineRule="auto"/>
        <w:jc w:val="both"/>
        <w:rPr>
          <w:rFonts w:ascii="Times New Roman" w:hAnsi="Times New Roman" w:cs="Times New Roman"/>
        </w:rPr>
      </w:pPr>
      <w:r>
        <w:t xml:space="preserve"> </w:t>
      </w:r>
      <w:r>
        <w:rPr>
          <w:b/>
          <w:i/>
        </w:rPr>
        <w:t>Alimentarea cu gaz va proveni din rezervor</w:t>
      </w:r>
      <w:r>
        <w:t>. Alimentarea cu gaze pentru Zona de Control Vamal Giurgiulești va fi asigurată prin intermediul unui rezervor individual de gaz petrolier lichefiat (GPL) suprateran.</w:t>
      </w:r>
    </w:p>
    <w:p w14:paraId="45362B7C">
      <w:pPr>
        <w:pStyle w:val="59"/>
        <w:spacing w:line="276" w:lineRule="auto"/>
        <w:jc w:val="both"/>
        <w:rPr>
          <w:rFonts w:ascii="Times New Roman" w:hAnsi="Times New Roman" w:cs="Times New Roman"/>
        </w:rPr>
      </w:pPr>
      <w:r>
        <w:t>Gazul va fi utilizat pentru a alimenta încălzirea și nevoile casnice, inclusiv facilități precum dușuri și blocuri sanitare. Această soluție este aleasă datorită absenței unei rețele centralizate de distribuție a gazelor la locația proiectului. Rezervorul de GPL va fi instalat în conformitate cu normele de siguranță și construcție aplicabile și va include măsuri de protecție împotriva incendiilor și de semnalizare. Această soluție asigură autonomia în aprovizionarea cu gaze și simplifică implementarea în zonele îndepărtate sau neconectate.</w:t>
      </w:r>
    </w:p>
    <w:p w14:paraId="53837EBD">
      <w:pPr>
        <w:spacing w:line="276" w:lineRule="auto"/>
        <w:jc w:val="both"/>
        <w:rPr>
          <w:rFonts w:ascii="Times New Roman" w:hAnsi="Times New Roman" w:cs="Times New Roman"/>
        </w:rPr>
      </w:pPr>
    </w:p>
    <w:p w14:paraId="76A1FFC2">
      <w:pPr>
        <w:pStyle w:val="59"/>
        <w:spacing w:line="276" w:lineRule="auto"/>
        <w:jc w:val="both"/>
        <w:rPr>
          <w:rFonts w:ascii="Times New Roman" w:hAnsi="Times New Roman" w:cs="Times New Roman"/>
        </w:rPr>
      </w:pPr>
      <w:r>
        <w:drawing>
          <wp:inline distT="0" distB="0" distL="0" distR="0">
            <wp:extent cx="5731510" cy="4020185"/>
            <wp:effectExtent l="0" t="0" r="2540" b="0"/>
            <wp:docPr id="1429120226" name="Imagine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20226" name="Imaginea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731510" cy="4020185"/>
                    </a:xfrm>
                    <a:prstGeom prst="rect">
                      <a:avLst/>
                    </a:prstGeom>
                    <a:noFill/>
                    <a:ln>
                      <a:noFill/>
                    </a:ln>
                  </pic:spPr>
                </pic:pic>
              </a:graphicData>
            </a:graphic>
          </wp:inline>
        </w:drawing>
      </w:r>
    </w:p>
    <w:p w14:paraId="3FDDB348">
      <w:pPr>
        <w:pStyle w:val="67"/>
        <w:spacing w:line="276" w:lineRule="auto"/>
        <w:jc w:val="both"/>
        <w:rPr>
          <w:rFonts w:ascii="Times New Roman" w:hAnsi="Times New Roman" w:cs="Times New Roman"/>
          <w:u w:val="single"/>
        </w:rPr>
      </w:pPr>
      <w:r>
        <w:t xml:space="preserve">Proiectarea detaliată a extinderii platformei </w:t>
      </w:r>
    </w:p>
    <w:p w14:paraId="769ED832"/>
    <w:p w14:paraId="0844C9C2">
      <w:pPr>
        <w:pStyle w:val="59"/>
        <w:spacing w:line="276" w:lineRule="auto"/>
        <w:jc w:val="both"/>
        <w:rPr>
          <w:rFonts w:ascii="Times New Roman" w:hAnsi="Times New Roman" w:cs="Times New Roman"/>
        </w:rPr>
      </w:pPr>
      <w:r>
        <w:t>În conformitate cu proiectul detaliat de extindere a platformei MCS din Giurgiulești, Agenția de Mediu a solicitat o stație de epurare a apelor uzate. Stația de epurare a apelor uzate propusă de proiectanți este sistemul autonom prefabricat SBR stație de epurare biologică a apelor uzate, debit 15m3/24hour.</w:t>
      </w:r>
    </w:p>
    <w:p w14:paraId="4FCE6C1A">
      <w:pPr>
        <w:pStyle w:val="59"/>
        <w:spacing w:line="276" w:lineRule="auto"/>
        <w:jc w:val="both"/>
        <w:rPr>
          <w:rFonts w:ascii="Times New Roman" w:hAnsi="Times New Roman" w:cs="Times New Roman"/>
        </w:rPr>
      </w:pPr>
      <w:r>
        <w:t xml:space="preserve">Apele uzate tratate biologic vor fi evacuate în șanțul de drenaj de pe marginea drumului. </w:t>
      </w:r>
    </w:p>
    <w:p w14:paraId="5D66CBE6">
      <w:pPr>
        <w:spacing w:line="276" w:lineRule="auto"/>
        <w:jc w:val="both"/>
        <w:rPr>
          <w:rFonts w:ascii="Times New Roman" w:hAnsi="Times New Roman" w:cs="Times New Roman"/>
          <w:i/>
          <w:iCs/>
        </w:rPr>
      </w:pPr>
    </w:p>
    <w:p w14:paraId="51FCDD29">
      <w:pPr>
        <w:pStyle w:val="59"/>
        <w:spacing w:line="276" w:lineRule="auto"/>
        <w:jc w:val="both"/>
        <w:rPr>
          <w:rFonts w:ascii="Times New Roman" w:hAnsi="Times New Roman" w:cs="Times New Roman"/>
        </w:rPr>
      </w:pPr>
      <w:r>
        <w:t xml:space="preserve">Un separator de grăsimi este furnizat în amonte de stația de epurare a apelor uzate pentru tratarea prealabilă a apei pluviale. Un separator de hidrocarburi, D=2400mm cu debit Q=30,0 l/s, echipat cu bypass intern.   </w:t>
      </w:r>
    </w:p>
    <w:p w14:paraId="409DD68F">
      <w:pPr>
        <w:pStyle w:val="59"/>
        <w:spacing w:line="276" w:lineRule="auto"/>
        <w:jc w:val="both"/>
        <w:rPr>
          <w:rFonts w:ascii="Times New Roman" w:hAnsi="Times New Roman" w:cs="Times New Roman"/>
        </w:rPr>
      </w:pPr>
      <w:r>
        <w:t xml:space="preserve">Precum și apa de ploaie, care trece prin separatoare de hidrocarburi înainte de a fi eliberate în același șanț. </w:t>
      </w:r>
    </w:p>
    <w:p w14:paraId="786E8DA3">
      <w:pPr>
        <w:pStyle w:val="59"/>
        <w:rPr>
          <w:rFonts w:ascii="Times New Roman" w:hAnsi="Times New Roman" w:cs="Times New Roman"/>
        </w:rPr>
      </w:pPr>
      <w:r>
        <w:t>Acordul de mediu (Acord de Mediu) confirmă că apa tratată va fi deversată în șanțul de pe marginea drumului.</w:t>
      </w:r>
    </w:p>
    <w:p w14:paraId="1CC581FE">
      <w:pPr>
        <w:spacing w:line="276" w:lineRule="auto"/>
        <w:jc w:val="both"/>
        <w:rPr>
          <w:rFonts w:ascii="Times New Roman" w:hAnsi="Times New Roman" w:cs="Times New Roman"/>
        </w:rPr>
      </w:pPr>
    </w:p>
    <w:p w14:paraId="6CBD44E2">
      <w:pPr>
        <w:pStyle w:val="59"/>
        <w:jc w:val="both"/>
        <w:rPr>
          <w:rFonts w:ascii="Times New Roman" w:hAnsi="Times New Roman" w:cs="Times New Roman"/>
        </w:rPr>
      </w:pPr>
      <w:r>
        <w:t>Proiectul stației compacte de epurare a apelor uzate trebuie să abordeze mai multe riscuri de mediu: eliminarea mirosurilor din zonă, tratarea conform standardelor aplicate și dezinfectarea înainte de evacuarea în sistemul de evacuare a apei pluviale sau pentru a fi utilizate pentru irigații locale.</w:t>
      </w:r>
    </w:p>
    <w:p w14:paraId="64FAE58A">
      <w:pPr>
        <w:pStyle w:val="57"/>
        <w:rPr>
          <w:rFonts w:ascii="Times New Roman" w:hAnsi="Times New Roman" w:cs="Times New Roman"/>
          <w:b/>
          <w:bCs/>
        </w:rPr>
      </w:pPr>
      <w:r>
        <w:t>Alte aspecte tehnice conexe ale acestui subproiect, durata execuției lucrărilor</w:t>
      </w:r>
    </w:p>
    <w:p w14:paraId="3F14096D">
      <w:pPr>
        <w:pStyle w:val="59"/>
        <w:rPr>
          <w:rFonts w:ascii="Times New Roman" w:hAnsi="Times New Roman" w:cs="Times New Roman"/>
        </w:rPr>
      </w:pPr>
      <w:r>
        <w:t>Acest subproiect se referă la reamenajarea zonei de control vamal Giurgiulești (ZCV) și include o serie de lucrări de infrastructură civilă, utilitară și de mediu. Lucrările sunt planificate în conformitate cu legislația națională și cu cerințele cadrului social și de mediu al Băncii Mondiale.</w:t>
      </w:r>
    </w:p>
    <w:p w14:paraId="53B56B7A">
      <w:pPr>
        <w:pStyle w:val="59"/>
        <w:rPr>
          <w:rFonts w:ascii="Times New Roman" w:hAnsi="Times New Roman" w:cs="Times New Roman"/>
        </w:rPr>
      </w:pPr>
      <w:r>
        <w:t xml:space="preserve">Lucrările de construcție pentru subproiectul Zona de control vamal Giurgiulești sunt planificate să fie executate într-o perioadă care se încheie la </w:t>
      </w:r>
      <w:r>
        <w:rPr>
          <w:b/>
        </w:rPr>
        <w:t>31 martie 2026.</w:t>
      </w:r>
      <w:r>
        <w:t xml:space="preserve"> Acest interval de timp permite o perioadă de aproximativ </w:t>
      </w:r>
      <w:r>
        <w:rPr>
          <w:b/>
        </w:rPr>
        <w:t>9-10 luni</w:t>
      </w:r>
      <w:r>
        <w:t xml:space="preserve"> pentru punerea în aplicare deplină, presupunând semnarea contractului până la jumătatea anului 2025.</w:t>
      </w:r>
    </w:p>
    <w:p w14:paraId="149EBF65">
      <w:pPr>
        <w:pStyle w:val="59"/>
        <w:rPr>
          <w:rFonts w:ascii="Times New Roman" w:hAnsi="Times New Roman" w:cs="Times New Roman"/>
        </w:rPr>
      </w:pPr>
      <w:r>
        <w:t>Subproiectul include următoarele categorii de lucrări:</w:t>
      </w:r>
    </w:p>
    <w:p w14:paraId="29214229">
      <w:pPr>
        <w:pStyle w:val="59"/>
        <w:rPr>
          <w:rFonts w:ascii="Times New Roman" w:hAnsi="Times New Roman" w:cs="Times New Roman"/>
        </w:rPr>
      </w:pPr>
      <w:r>
        <w:t>a) Lucrări civile și de dezvoltare a sitului</w:t>
      </w:r>
    </w:p>
    <w:p w14:paraId="7BF3E8C5">
      <w:pPr>
        <w:pStyle w:val="59"/>
        <w:numPr>
          <w:ilvl w:val="0"/>
          <w:numId w:val="3"/>
        </w:numPr>
        <w:rPr>
          <w:rFonts w:ascii="Times New Roman" w:hAnsi="Times New Roman" w:cs="Times New Roman"/>
        </w:rPr>
      </w:pPr>
      <w:r>
        <w:t>Lucrări de terasament (excavare, rambleiere, sortare, compactare)</w:t>
      </w:r>
    </w:p>
    <w:p w14:paraId="5735D184">
      <w:pPr>
        <w:pStyle w:val="59"/>
        <w:numPr>
          <w:ilvl w:val="0"/>
          <w:numId w:val="3"/>
        </w:numPr>
        <w:rPr>
          <w:rFonts w:ascii="Times New Roman" w:hAnsi="Times New Roman" w:cs="Times New Roman"/>
        </w:rPr>
      </w:pPr>
      <w:r>
        <w:t>Construcția de drumuri și extinderea zonelor de parcare (suprafețe din asfalt și beton)</w:t>
      </w:r>
    </w:p>
    <w:p w14:paraId="46B389D9">
      <w:pPr>
        <w:pStyle w:val="59"/>
        <w:numPr>
          <w:ilvl w:val="0"/>
          <w:numId w:val="3"/>
        </w:numPr>
        <w:rPr>
          <w:rFonts w:ascii="Times New Roman" w:hAnsi="Times New Roman" w:cs="Times New Roman"/>
        </w:rPr>
      </w:pPr>
      <w:r>
        <w:t>Instalarea bordurilor, trotuarelor și marcajelor rutiere</w:t>
      </w:r>
    </w:p>
    <w:p w14:paraId="70BC1BF3">
      <w:pPr>
        <w:pStyle w:val="59"/>
        <w:numPr>
          <w:ilvl w:val="0"/>
          <w:numId w:val="3"/>
        </w:numPr>
        <w:rPr>
          <w:rFonts w:ascii="Times New Roman" w:hAnsi="Times New Roman" w:cs="Times New Roman"/>
        </w:rPr>
      </w:pPr>
      <w:r>
        <w:t>Infrastructura de drenaj a apelor pluviale și separatoarele de ulei</w:t>
      </w:r>
    </w:p>
    <w:p w14:paraId="7B893C79">
      <w:pPr>
        <w:pStyle w:val="59"/>
        <w:numPr>
          <w:ilvl w:val="0"/>
          <w:numId w:val="3"/>
        </w:numPr>
        <w:rPr>
          <w:rFonts w:ascii="Times New Roman" w:hAnsi="Times New Roman" w:cs="Times New Roman"/>
        </w:rPr>
      </w:pPr>
      <w:r>
        <w:t>Garduri perimetrale și facilități de acces la amplasament</w:t>
      </w:r>
    </w:p>
    <w:p w14:paraId="5AE1F042">
      <w:pPr>
        <w:pStyle w:val="59"/>
        <w:rPr>
          <w:rFonts w:ascii="Times New Roman" w:hAnsi="Times New Roman" w:cs="Times New Roman"/>
        </w:rPr>
      </w:pPr>
      <w:r>
        <w:t>b) Infrastructura de utilități</w:t>
      </w:r>
    </w:p>
    <w:p w14:paraId="33C239CE">
      <w:pPr>
        <w:pStyle w:val="59"/>
        <w:rPr>
          <w:rFonts w:ascii="Times New Roman" w:hAnsi="Times New Roman" w:cs="Times New Roman"/>
        </w:rPr>
      </w:pPr>
      <w:r>
        <w:t>c) Instalații și echipamente tehnice [instalarea sistemelor de supraveghere video (CCTV), a infrastructurii de comunicații de date și internet, a sistemelor de iluminat zonal și de afișare electronică, a cabinelor echipamentelor, a unităților de stocare și a sistemelor de semnalizare.</w:t>
      </w:r>
    </w:p>
    <w:p w14:paraId="3A9B1676">
      <w:pPr>
        <w:pStyle w:val="59"/>
        <w:rPr>
          <w:rFonts w:ascii="Times New Roman" w:hAnsi="Times New Roman" w:cs="Times New Roman"/>
        </w:rPr>
      </w:pPr>
      <w:r>
        <w:t>d) Dispoziții privind mediul și siguranța [Instalarea separatoarelor de hidrocarburi pentru scurgerile tratate din zonele de parcare și de manevră, măsuri de eliminare a prafului și de control al scurgerilor în timpul construcției, semnalizare de securitate, EIP ale lucrătorilor și controale ale accesului, stabilirea unei zone de protecție sanitară pentru zona respectivă, precum și în conformitate cu reglementările naționale (HG 949/2013)]</w:t>
      </w:r>
    </w:p>
    <w:p w14:paraId="78BB1F08">
      <w:pPr>
        <w:pStyle w:val="59"/>
        <w:rPr>
          <w:rFonts w:ascii="Times New Roman" w:hAnsi="Times New Roman" w:cs="Times New Roman"/>
        </w:rPr>
      </w:pPr>
      <w:r>
        <w:t>e) Lucrări temporare și logistică (înființarea drumurilor de acces temporare pentru construcții și a zonelor de depozitare, amplasarea biroului șantierului de construcții, a instalațiilor sanitare și a containerelor pentru deșeuri, respectarea tuturor protocoalelor de siguranță pentru operațiunile la fața locului).</w:t>
      </w:r>
    </w:p>
    <w:p w14:paraId="5C671ABE">
      <w:pPr>
        <w:rPr>
          <w:rFonts w:ascii="Times New Roman" w:hAnsi="Times New Roman" w:cs="Times New Roman"/>
        </w:rPr>
      </w:pPr>
    </w:p>
    <w:p w14:paraId="52E5A16C"/>
    <w:p w14:paraId="635A0DBB"/>
    <w:p w14:paraId="52D7FE2A"/>
    <w:p w14:paraId="32FB045B">
      <w:r>
        <w:br w:type="page"/>
      </w:r>
    </w:p>
    <w:p w14:paraId="7655463E"/>
    <w:p w14:paraId="461FC6A2">
      <w:pPr>
        <w:pStyle w:val="68"/>
        <w:autoSpaceDE w:val="0"/>
        <w:autoSpaceDN w:val="0"/>
        <w:adjustRightInd w:val="0"/>
        <w:spacing w:after="0" w:line="276" w:lineRule="auto"/>
        <w:jc w:val="both"/>
        <w:rPr>
          <w:rFonts w:ascii="Times New Roman" w:hAnsi="Times New Roman" w:cs="Times New Roman"/>
          <w:b/>
          <w:bCs/>
          <w:color w:val="000000"/>
        </w:rPr>
      </w:pPr>
      <w:r>
        <w:t>CONSULTARE PUBLICĂ ȘI MECANISM DE CREȘTERE</w:t>
      </w:r>
    </w:p>
    <w:p w14:paraId="483090F1">
      <w:pPr>
        <w:autoSpaceDE w:val="0"/>
        <w:autoSpaceDN w:val="0"/>
        <w:adjustRightInd w:val="0"/>
        <w:spacing w:after="0" w:line="276" w:lineRule="auto"/>
        <w:jc w:val="both"/>
        <w:rPr>
          <w:rFonts w:ascii="Times New Roman" w:hAnsi="Times New Roman" w:cs="Times New Roman"/>
          <w:b/>
          <w:bCs/>
          <w:color w:val="000000"/>
        </w:rPr>
      </w:pPr>
    </w:p>
    <w:p w14:paraId="4C1401F4">
      <w:pPr>
        <w:pStyle w:val="68"/>
        <w:autoSpaceDE w:val="0"/>
        <w:autoSpaceDN w:val="0"/>
        <w:adjustRightInd w:val="0"/>
        <w:spacing w:after="0" w:line="276" w:lineRule="auto"/>
        <w:jc w:val="both"/>
        <w:rPr>
          <w:rFonts w:ascii="Times New Roman" w:hAnsi="Times New Roman" w:cs="Times New Roman"/>
          <w:b/>
          <w:bCs/>
          <w:color w:val="000000"/>
        </w:rPr>
      </w:pPr>
      <w:r>
        <w:t>Consultare publică</w:t>
      </w:r>
    </w:p>
    <w:p w14:paraId="7AA96B21">
      <w:pPr>
        <w:pStyle w:val="61"/>
        <w:autoSpaceDE w:val="0"/>
        <w:autoSpaceDN w:val="0"/>
        <w:adjustRightInd w:val="0"/>
        <w:spacing w:after="0" w:line="276" w:lineRule="auto"/>
        <w:jc w:val="both"/>
        <w:rPr>
          <w:rFonts w:ascii="Times New Roman" w:hAnsi="Times New Roman" w:cs="Times New Roman"/>
          <w:color w:val="000000"/>
        </w:rPr>
      </w:pPr>
      <w:r>
        <w:t>Consultările publice reprezintă un element-cheie al Planului de management social și de mediu (ESMP), asigurând implicarea comunității, transparența și identificarea proactivă a preocupărilor sociale și de mediu. Acestea sprijină un proces decizional favorabil incluziunii, sporesc gradul de acceptare a proiectelor și contribuie la soluționarea în timp util a eventualelor nemulțumiri.</w:t>
      </w:r>
    </w:p>
    <w:p w14:paraId="74499508">
      <w:pPr>
        <w:autoSpaceDE w:val="0"/>
        <w:autoSpaceDN w:val="0"/>
        <w:adjustRightInd w:val="0"/>
        <w:spacing w:after="0" w:line="276" w:lineRule="auto"/>
        <w:jc w:val="both"/>
        <w:rPr>
          <w:rFonts w:ascii="Times New Roman" w:hAnsi="Times New Roman" w:cs="Times New Roman"/>
          <w:color w:val="000000"/>
        </w:rPr>
      </w:pPr>
    </w:p>
    <w:p w14:paraId="1B4CEA9E">
      <w:pPr>
        <w:pStyle w:val="61"/>
        <w:autoSpaceDE w:val="0"/>
        <w:autoSpaceDN w:val="0"/>
        <w:adjustRightInd w:val="0"/>
        <w:spacing w:after="0" w:line="276" w:lineRule="auto"/>
        <w:jc w:val="both"/>
        <w:rPr>
          <w:rFonts w:ascii="Times New Roman" w:hAnsi="Times New Roman" w:cs="Times New Roman"/>
          <w:color w:val="000000"/>
        </w:rPr>
      </w:pPr>
      <w:r>
        <w:t xml:space="preserve">La 2 aprilie 2025, la Giurgiulești a fost înființat un comitet consultativ local care să ghideze și să monitorizeze implicarea părților interesate în cursul punerii în aplicare a subproiectului de reamenajare a zonei de control vamal. Consultantul E&amp;S a prezentat în PPT principalele aspecte sociale și de mediu și a explicat măsurile de atenuare și structura documentului de verificare ESMP. </w:t>
      </w:r>
    </w:p>
    <w:p w14:paraId="10B97170">
      <w:pPr>
        <w:pStyle w:val="61"/>
        <w:numPr>
          <w:ilvl w:val="0"/>
          <w:numId w:val="4"/>
        </w:numPr>
        <w:autoSpaceDE w:val="0"/>
        <w:autoSpaceDN w:val="0"/>
        <w:adjustRightInd w:val="0"/>
        <w:spacing w:after="0" w:line="276" w:lineRule="auto"/>
        <w:jc w:val="both"/>
        <w:rPr>
          <w:rFonts w:ascii="Times New Roman" w:hAnsi="Times New Roman" w:cs="Times New Roman"/>
          <w:color w:val="000000"/>
        </w:rPr>
      </w:pPr>
      <w:r>
        <w:t>Feedback colectat de la părțile interesate de la nivel local, inclusiv de la reprezentanții comunității și proprietarii de întreprinderi – [un control mai bun al traficului camioanelor prin sat, urgența construirii șoselei de centură Slobozia Mare (M3) și a șoselei de centură Giurgiulești, în cazul în care acest proiect este legat de extinderea portului Giurgiulești]</w:t>
      </w:r>
    </w:p>
    <w:p w14:paraId="3B567E1A">
      <w:pPr>
        <w:pStyle w:val="61"/>
        <w:autoSpaceDE w:val="0"/>
        <w:autoSpaceDN w:val="0"/>
        <w:adjustRightInd w:val="0"/>
        <w:spacing w:after="0" w:line="276" w:lineRule="auto"/>
        <w:ind w:left="720"/>
        <w:jc w:val="both"/>
        <w:rPr>
          <w:rFonts w:ascii="Times New Roman" w:hAnsi="Times New Roman" w:cs="Times New Roman"/>
          <w:b/>
          <w:bCs/>
          <w:color w:val="000000"/>
        </w:rPr>
      </w:pPr>
      <w:bookmarkStart w:id="4" w:name="_Hlk197898921"/>
      <w:r>
        <w:t xml:space="preserve">Reuniuni în curs ale părților interesate pe tot parcursul proiectului </w:t>
      </w:r>
      <w:bookmarkEnd w:id="4"/>
      <w:r>
        <w:t>- platforma de reuniuni SIMC descrisă mai sus</w:t>
      </w:r>
    </w:p>
    <w:p w14:paraId="2E6E7F79">
      <w:pPr>
        <w:pStyle w:val="68"/>
        <w:autoSpaceDE w:val="0"/>
        <w:autoSpaceDN w:val="0"/>
        <w:adjustRightInd w:val="0"/>
        <w:spacing w:after="0" w:line="276" w:lineRule="auto"/>
        <w:jc w:val="both"/>
        <w:rPr>
          <w:rFonts w:ascii="Times New Roman" w:hAnsi="Times New Roman" w:cs="Times New Roman"/>
          <w:b/>
          <w:bCs/>
          <w:color w:val="000000"/>
        </w:rPr>
      </w:pPr>
      <w:r>
        <w:t>Mecanismul de soluționare a reclamațiilor</w:t>
      </w:r>
    </w:p>
    <w:p w14:paraId="079648BD">
      <w:pPr>
        <w:pStyle w:val="59"/>
        <w:spacing w:line="276" w:lineRule="auto"/>
        <w:jc w:val="both"/>
        <w:rPr>
          <w:rFonts w:ascii="Times New Roman" w:hAnsi="Times New Roman" w:cs="Times New Roman"/>
        </w:rPr>
      </w:pPr>
      <w:r>
        <w:t>Administrația Drumurilor de Stat (SRA) și Serviciul Vamal din Moldova (MCS) au elaborat un MMG specific proiectului, în conformitate cu standardul social și de mediu 10 al Băncii Mondiale, conceput pentru a aborda preocupările și nemulțumirile legate de performanța de mediu și socială a proiectului în timp util și în mod eficient. Mecanismul de soluționare a reclamațiilor din cadrul proiectului va asigura faptul că preocupările sunt abordate cu promptitudine, în mod eficace și transparent, într-un mod adecvat din punct de vedere cultural. Procesul GRM nu va împiedica accesul la căi de atac judiciare sau administrative, iar SRA și MCS vor informa părțile afectate de proiect cu privire la procesul de soluționare a reclamațiilor în timpul activităților de implicare a comunității. În plus, va fi pus la dispoziție un registru public care documentează răspunsurile la toate nemulțumirile.</w:t>
      </w:r>
    </w:p>
    <w:p w14:paraId="2F460EEC">
      <w:pPr>
        <w:pStyle w:val="59"/>
        <w:spacing w:line="276" w:lineRule="auto"/>
        <w:jc w:val="both"/>
        <w:rPr>
          <w:rFonts w:ascii="Times New Roman" w:hAnsi="Times New Roman" w:cs="Times New Roman"/>
        </w:rPr>
      </w:pPr>
      <w:r>
        <w:t xml:space="preserve">Plângerile vor fi tratate într-un mod sensibil din punct de vedere cultural, discret, obiectiv și receptiv, asigurându-se că nevoile și preocupările părților afectate de proiect sunt abordate în mod corespunzător. Mecanismul va permite, de asemenea, depunerea de plângeri anonime.    Aceste proceduri sunt concepute pentru a se asigura că procesul de soluționare a reclamațiilor se aliniază la politicile organizaționale, la cerințele legale și la cerințele FSE în conformitate cu PECVR.  </w:t>
      </w:r>
    </w:p>
    <w:p w14:paraId="6C9ACCE6">
      <w:pPr>
        <w:pStyle w:val="59"/>
        <w:spacing w:line="276" w:lineRule="auto"/>
        <w:jc w:val="both"/>
        <w:rPr>
          <w:rFonts w:ascii="Times New Roman" w:hAnsi="Times New Roman" w:cs="Times New Roman"/>
        </w:rPr>
      </w:pPr>
      <w:r>
        <w:t>Mecanismul de soluționare a reclamațiilor joacă, de asemenea, un rol esențial în atenuarea și soluționarea problemelor legate de exploatarea sexuală și abuz/hărțuire sexuală (SEA/SH) într-un mod centrat pe supraviețuitori și eficient, cu scopul de a preveni noi prejudicii.</w:t>
      </w:r>
    </w:p>
    <w:p w14:paraId="47721FA8">
      <w:pPr>
        <w:pStyle w:val="59"/>
        <w:spacing w:line="276" w:lineRule="auto"/>
        <w:jc w:val="both"/>
        <w:rPr>
          <w:rFonts w:ascii="Times New Roman" w:hAnsi="Times New Roman" w:cs="Times New Roman"/>
        </w:rPr>
      </w:pPr>
      <w:r>
        <w:t>Termenii "plângere" și "</w:t>
      </w:r>
      <w:r>
        <w:rPr>
          <w:rFonts w:hint="default"/>
          <w:lang w:val="ro-RO"/>
        </w:rPr>
        <w:t>contestație</w:t>
      </w:r>
      <w:r>
        <w:t>" sunt utilizați interschimbabil în contextul prezentului document.</w:t>
      </w:r>
    </w:p>
    <w:p w14:paraId="21ADDD34">
      <w:pPr>
        <w:pStyle w:val="59"/>
        <w:spacing w:line="276" w:lineRule="auto"/>
        <w:jc w:val="both"/>
        <w:rPr>
          <w:rFonts w:ascii="Times New Roman" w:hAnsi="Times New Roman" w:cs="Times New Roman"/>
          <w:color w:val="000000"/>
        </w:rPr>
      </w:pPr>
      <w:r>
        <w:t xml:space="preserve">Specialistul </w:t>
      </w:r>
      <w:r>
        <w:rPr>
          <w:color w:val="000000"/>
        </w:rPr>
        <w:t xml:space="preserve">de mediu și social din cadrul UIP pentru MCS va fi punctul focal MCS Grievance. </w:t>
      </w:r>
      <w:r>
        <w:rPr>
          <w:rFonts w:hint="default"/>
          <w:color w:val="000000"/>
          <w:lang w:val="ro-RO"/>
        </w:rPr>
        <w:t>MCS</w:t>
      </w:r>
      <w:r>
        <w:rPr>
          <w:color w:val="000000"/>
        </w:rPr>
        <w:t xml:space="preserve"> își va utiliza canalele interne pentru depunerea plângerilor și le va integra pentru proiectul GRM. Plângerile</w:t>
      </w:r>
      <w:r>
        <w:t xml:space="preserve"> primite prin canalele interne vor fi înregistrate și soluționate de </w:t>
      </w:r>
      <w:r>
        <w:rPr>
          <w:rFonts w:hint="default"/>
          <w:lang w:val="ro-RO"/>
        </w:rPr>
        <w:t>MCS</w:t>
      </w:r>
      <w:r>
        <w:t>. Săptămânal, aceste plângeri vor fi extrase din sistemul electronic existent și transmise punctului focal stabilit al entității, cu transmiterea ulterioară către persoana desemnată de SRA în formatul electronic convenit, pentru a asigura o imagine de ansamblu cuprinzătoare a proiectului.</w:t>
      </w:r>
      <w:r>
        <w:rPr>
          <w:color w:val="000000"/>
        </w:rPr>
        <w:t xml:space="preserve"> </w:t>
      </w:r>
    </w:p>
    <w:p w14:paraId="1831983F">
      <w:pPr>
        <w:pStyle w:val="3"/>
        <w:spacing w:before="0" w:line="276" w:lineRule="auto"/>
        <w:ind w:left="360"/>
        <w:rPr>
          <w:rFonts w:ascii="Times New Roman" w:hAnsi="Times New Roman" w:eastAsia="Times New Roman" w:cs="Times New Roman"/>
          <w:sz w:val="22"/>
          <w:szCs w:val="22"/>
        </w:rPr>
      </w:pPr>
    </w:p>
    <w:p w14:paraId="41AA61FC">
      <w:pPr>
        <w:pStyle w:val="69"/>
        <w:spacing w:before="0" w:line="276" w:lineRule="auto"/>
        <w:ind w:left="360"/>
        <w:rPr>
          <w:rFonts w:ascii="Times New Roman" w:hAnsi="Times New Roman" w:eastAsia="Times New Roman" w:cs="Times New Roman"/>
          <w:sz w:val="22"/>
          <w:szCs w:val="22"/>
        </w:rPr>
      </w:pPr>
      <w:bookmarkStart w:id="5" w:name="_Toc184883426"/>
      <w:r>
        <w:t>Roluri și responsabilități GRM</w:t>
      </w:r>
      <w:bookmarkEnd w:id="5"/>
    </w:p>
    <w:p w14:paraId="2994A084">
      <w:pPr>
        <w:pStyle w:val="61"/>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t xml:space="preserve">Eficacitatea căilor de atac împotriva reclamațiilor este optimizată atunci când plângerea este primită și soluționată la nivelul cel mai apropiat de locul de origine al problemei.  Cu toate acestea, orice observații sau preocupări pot fi transmise proiectului fie verbal, fie în scris (prin poștă sau e-mail), fie prin completarea unui formular de plângere prin intermediul oricăruia dintre canalele de adoptare la orice nivel.  Formularul de plângere va fi pus la dispoziție la birourile municipale care sunt ușor accesibile tuturor părților interesate relevante, împreună cu o descriere a mecanismului de soluționare a plângerilor. Acesta va fi disponibil și pe șantierele de construcții. Formularul de plângere este atașat ca anexă. </w:t>
      </w:r>
    </w:p>
    <w:p w14:paraId="426C9C75">
      <w:pPr>
        <w:pStyle w:val="57"/>
        <w:spacing w:line="276" w:lineRule="auto"/>
        <w:jc w:val="both"/>
        <w:rPr>
          <w:rFonts w:ascii="Times New Roman" w:hAnsi="Times New Roman" w:cs="Times New Roman"/>
          <w:b/>
        </w:rPr>
      </w:pPr>
      <w:r>
        <w:t>Nivelul 1: Nivelul local:</w:t>
      </w:r>
    </w:p>
    <w:p w14:paraId="307E6A86">
      <w:pPr>
        <w:jc w:val="both"/>
        <w:rPr>
          <w:rFonts w:ascii="Times New Roman" w:hAnsi="Times New Roman" w:cs="Times New Roman"/>
          <w:color w:val="000000"/>
        </w:rPr>
      </w:pPr>
      <w:sdt>
        <w:sdtPr>
          <w:rPr>
            <w:rFonts w:ascii="Times New Roman" w:hAnsi="Times New Roman" w:cs="Times New Roman"/>
          </w:rPr>
          <w:tag w:val="goog_rdk_43"/>
          <w:id w:val="428943773"/>
        </w:sdtPr>
        <w:sdtEndPr>
          <w:rPr>
            <w:rFonts w:ascii="Times New Roman" w:hAnsi="Times New Roman" w:cs="Times New Roman"/>
          </w:rPr>
        </w:sdtEndPr>
        <w:sdtContent/>
      </w:sdt>
      <w:sdt>
        <w:sdtPr>
          <w:rPr>
            <w:rFonts w:ascii="Times New Roman" w:hAnsi="Times New Roman" w:cs="Times New Roman"/>
          </w:rPr>
          <w:tag w:val="goog_rdk_44"/>
          <w:id w:val="-854496325"/>
        </w:sdtPr>
        <w:sdtEndPr>
          <w:rPr>
            <w:rFonts w:ascii="Times New Roman" w:hAnsi="Times New Roman" w:cs="Times New Roman"/>
          </w:rPr>
        </w:sdtEndPr>
        <w:sdtContent/>
      </w:sdt>
      <w:r>
        <w:rPr>
          <w:rFonts w:ascii="Times New Roman" w:hAnsi="Times New Roman" w:cs="Times New Roman"/>
          <w:u w:val="single"/>
        </w:rPr>
        <w:t>Antreprenor, inginer supervizor în construcții.</w:t>
      </w:r>
      <w:r>
        <w:rPr>
          <w:rFonts w:ascii="Times New Roman" w:hAnsi="Times New Roman" w:cs="Times New Roman"/>
        </w:rPr>
        <w:t xml:space="preserve"> Contractantul răspunde de orice reclamații primite direct de la părțile interesate, cum ar fi rezidenții, într-un mod profesionist, în conformitate cu cerințele contractuale ale acestora.   Canalele de depunere a plângerilor vor fi afișate în apropierea șantierului de construcții pe o placă mare.). Constructorul va lua măsuri imediate pentru soluționarea nemulțumirilor în cel mai scurt timp.   </w:t>
      </w:r>
    </w:p>
    <w:p w14:paraId="550B85B7">
      <w:pPr>
        <w:pStyle w:val="59"/>
        <w:jc w:val="both"/>
        <w:rPr>
          <w:rFonts w:ascii="Times New Roman" w:hAnsi="Times New Roman" w:cs="Times New Roman"/>
        </w:rPr>
      </w:pPr>
      <w:r>
        <w:rPr>
          <w:u w:val="single"/>
        </w:rPr>
        <w:t>Comitetele de Monitorizare a Impactului Social (CSI) înființate</w:t>
      </w:r>
      <w:r>
        <w:t xml:space="preserve"> în cadrul proiectului Giurgiulești au </w:t>
      </w:r>
      <w:r>
        <w:rPr>
          <w:rFonts w:hint="default"/>
          <w:lang w:val="ro-RO"/>
        </w:rPr>
        <w:t>rolul</w:t>
      </w:r>
      <w:r>
        <w:t xml:space="preserve"> pentru a spori eficacitatea abordării nevoilor comunității și a problemelor legate de proiect. SIMC-urile vor avea o procedură de soluționare a reclamațiilor, iar reprezentanții SIMC-urilor vor fi instruiți cu privire la soluționarea reclamațiilor. Plângerile pot fi transmise prin diferite canale, inclusiv apeluri telefonice, e-mail, site-uri web, reuniuni SIMC, vizite la fața locului, evenimente de informare a cetățenilor și alte metode disponibile. </w:t>
      </w:r>
    </w:p>
    <w:p w14:paraId="361598D2">
      <w:pPr>
        <w:jc w:val="both"/>
        <w:rPr>
          <w:rFonts w:ascii="Times New Roman" w:hAnsi="Times New Roman" w:cs="Times New Roman"/>
        </w:rPr>
      </w:pPr>
    </w:p>
    <w:p w14:paraId="759473DF">
      <w:pPr>
        <w:pStyle w:val="59"/>
        <w:jc w:val="both"/>
        <w:rPr>
          <w:rFonts w:ascii="Times New Roman" w:hAnsi="Times New Roman" w:cs="Times New Roman"/>
        </w:rPr>
      </w:pPr>
      <w:r>
        <w:t xml:space="preserve">Contactele reprezentanților SIMC și ale inginerului vor fi afișate în locuri mai vizibile și mai accesibile pentru site-urile comunitare, cum ar fi sediile APL. SIMC trebuie, de asemenea, să colecteze, să documenteze și să abordeze plângerile înaintate de ofițerul de poliție locală. În consecință, ofițerul de poliție locală ar trebui să fie informat că cetățenii pot alege să își adreseze nemulțumirea SIMC și/sau contractantului și inginerului.  </w:t>
      </w:r>
    </w:p>
    <w:p w14:paraId="565FF944">
      <w:pPr>
        <w:pStyle w:val="57"/>
        <w:spacing w:line="276" w:lineRule="auto"/>
        <w:jc w:val="both"/>
        <w:rPr>
          <w:rFonts w:ascii="Times New Roman" w:hAnsi="Times New Roman" w:cs="Times New Roman"/>
          <w:b/>
        </w:rPr>
      </w:pPr>
      <w:r>
        <w:t>Nivelul 2: Nivelul UIP</w:t>
      </w:r>
    </w:p>
    <w:p w14:paraId="5ECE0D86">
      <w:pPr>
        <w:spacing w:line="276" w:lineRule="auto"/>
        <w:jc w:val="both"/>
        <w:rPr>
          <w:rFonts w:ascii="Times New Roman" w:hAnsi="Times New Roman" w:cs="Times New Roman"/>
        </w:rPr>
      </w:pPr>
      <w:sdt>
        <w:sdtPr>
          <w:rPr>
            <w:rFonts w:hint="default" w:ascii="Times New Roman" w:hAnsi="Times New Roman" w:cs="Times New Roman"/>
            <w:lang w:val="en-US"/>
          </w:rPr>
          <w:tag w:val="goog_rdk_45"/>
          <w:id w:val="-782413527"/>
        </w:sdtPr>
        <w:sdtEndPr>
          <w:rPr>
            <w:rFonts w:hint="default" w:ascii="Times New Roman" w:hAnsi="Times New Roman" w:cs="Times New Roman"/>
            <w:lang w:val="en-US"/>
          </w:rPr>
        </w:sdtEndPr>
        <w:sdtContent>
          <w:r>
            <w:rPr>
              <w:rFonts w:hint="default" w:ascii="Times New Roman" w:hAnsi="Times New Roman" w:cs="Times New Roman"/>
              <w:lang w:val="ro-RO"/>
            </w:rPr>
            <w:t>La MCS</w:t>
          </w:r>
        </w:sdtContent>
      </w:sdt>
      <w:r>
        <w:rPr>
          <w:rFonts w:ascii="Times New Roman" w:hAnsi="Times New Roman" w:cs="Times New Roman"/>
        </w:rPr>
        <w:t xml:space="preserve"> sunt disponibile următoarele canale pentru transmiterea conformității:</w:t>
      </w:r>
    </w:p>
    <w:p w14:paraId="52177E90">
      <w:pPr>
        <w:pStyle w:val="59"/>
        <w:spacing w:line="276" w:lineRule="auto"/>
        <w:jc w:val="both"/>
        <w:rPr>
          <w:rFonts w:ascii="Times New Roman" w:hAnsi="Times New Roman" w:cs="Times New Roman"/>
        </w:rPr>
      </w:pPr>
      <w:sdt>
        <w:sdtPr>
          <w:rPr>
            <w:rFonts w:ascii="Times New Roman" w:hAnsi="Times New Roman" w:cs="Times New Roman"/>
          </w:rPr>
          <w:tag w:val="goog_rdk_46"/>
          <w:id w:val="1565686357"/>
        </w:sdtPr>
        <w:sdtEndPr>
          <w:rPr>
            <w:rFonts w:ascii="Times New Roman" w:hAnsi="Times New Roman" w:cs="Times New Roman"/>
          </w:rPr>
        </w:sdtEndPr>
        <w:sdtContent>
          <w:r>
            <w:t>Tabelul 1</w:t>
          </w:r>
        </w:sdtContent>
      </w:sdt>
    </w:p>
    <w:p w14:paraId="6A5F3B0B">
      <w:pPr>
        <w:spacing w:line="276" w:lineRule="auto"/>
        <w:jc w:val="both"/>
        <w:rPr>
          <w:rFonts w:ascii="Times New Roman" w:hAnsi="Times New Roman" w:cs="Times New Roman"/>
          <w:i/>
        </w:rPr>
      </w:pPr>
    </w:p>
    <w:tbl>
      <w:tblPr>
        <w:tblStyle w:val="12"/>
        <w:tblW w:w="906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64"/>
        <w:gridCol w:w="5103"/>
      </w:tblGrid>
      <w:tr w14:paraId="6836F9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trPr>
        <w:tc>
          <w:tcPr>
            <w:tcW w:w="3964" w:type="dxa"/>
            <w:shd w:val="clear" w:color="auto" w:fill="DDE6F7"/>
          </w:tcPr>
          <w:p w14:paraId="626901F1">
            <w:pPr>
              <w:spacing w:line="276" w:lineRule="auto"/>
              <w:jc w:val="both"/>
              <w:rPr>
                <w:rFonts w:ascii="Times New Roman" w:hAnsi="Times New Roman" w:cs="Times New Roman"/>
              </w:rPr>
            </w:pPr>
          </w:p>
        </w:tc>
        <w:tc>
          <w:tcPr>
            <w:tcW w:w="5103" w:type="dxa"/>
            <w:shd w:val="clear" w:color="auto" w:fill="DDE6F7"/>
          </w:tcPr>
          <w:p w14:paraId="717C586F">
            <w:pPr>
              <w:pStyle w:val="61"/>
              <w:widowControl w:val="0"/>
              <w:pBdr>
                <w:top w:val="none" w:color="auto" w:sz="0" w:space="0"/>
                <w:left w:val="none" w:color="auto" w:sz="0" w:space="0"/>
                <w:bottom w:val="none" w:color="auto" w:sz="0" w:space="0"/>
                <w:right w:val="none" w:color="auto" w:sz="0" w:space="0"/>
                <w:between w:val="none" w:color="auto" w:sz="0" w:space="0"/>
              </w:pBdr>
              <w:spacing w:line="276" w:lineRule="auto"/>
              <w:rPr>
                <w:rFonts w:ascii="Times New Roman" w:hAnsi="Times New Roman" w:cs="Times New Roman"/>
                <w:color w:val="000000"/>
              </w:rPr>
            </w:pPr>
            <w:r>
              <w:t xml:space="preserve">Serviciul Vamal al Republicii Moldova: </w:t>
            </w:r>
          </w:p>
          <w:p w14:paraId="4A598B04">
            <w:pPr>
              <w:spacing w:line="276" w:lineRule="auto"/>
              <w:rPr>
                <w:rFonts w:ascii="Times New Roman" w:hAnsi="Times New Roman" w:cs="Times New Roman"/>
              </w:rPr>
            </w:pPr>
          </w:p>
        </w:tc>
      </w:tr>
      <w:tr w14:paraId="40F9A2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7" w:hRule="atLeast"/>
        </w:trPr>
        <w:tc>
          <w:tcPr>
            <w:tcW w:w="3964" w:type="dxa"/>
          </w:tcPr>
          <w:p w14:paraId="200DEC81">
            <w:pPr>
              <w:pStyle w:val="59"/>
              <w:spacing w:line="276" w:lineRule="auto"/>
              <w:jc w:val="both"/>
              <w:rPr>
                <w:rFonts w:ascii="Times New Roman" w:hAnsi="Times New Roman" w:cs="Times New Roman"/>
              </w:rPr>
            </w:pPr>
            <w:r>
              <w:t xml:space="preserve">Prin e-mail:  </w:t>
            </w:r>
          </w:p>
        </w:tc>
        <w:tc>
          <w:tcPr>
            <w:tcW w:w="5103" w:type="dxa"/>
          </w:tcPr>
          <w:p w14:paraId="5136DE43">
            <w:pPr>
              <w:spacing w:line="276" w:lineRule="auto"/>
              <w:rPr>
                <w:rFonts w:ascii="Times New Roman" w:hAnsi="Times New Roman" w:cs="Times New Roman"/>
              </w:rPr>
            </w:pPr>
            <w:r>
              <w:fldChar w:fldCharType="begin"/>
            </w:r>
            <w:r>
              <w:instrText xml:space="preserve"> HYPERLINK "mailto:callcenter@customs.gov.md" \h </w:instrText>
            </w:r>
            <w:r>
              <w:fldChar w:fldCharType="separate"/>
            </w:r>
            <w:r>
              <w:rPr>
                <w:rFonts w:ascii="Times New Roman" w:hAnsi="Times New Roman" w:cs="Times New Roman"/>
                <w:color w:val="006699"/>
                <w:u w:val="single"/>
              </w:rPr>
              <w:t>callcenter@customs.gov.md</w:t>
            </w:r>
            <w:r>
              <w:rPr>
                <w:rFonts w:ascii="Times New Roman" w:hAnsi="Times New Roman" w:cs="Times New Roman"/>
                <w:color w:val="006699"/>
                <w:u w:val="single"/>
              </w:rPr>
              <w:fldChar w:fldCharType="end"/>
            </w:r>
          </w:p>
        </w:tc>
      </w:tr>
      <w:tr w14:paraId="4ACCB0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43DD0E5A">
            <w:pPr>
              <w:pStyle w:val="59"/>
              <w:spacing w:line="276" w:lineRule="auto"/>
              <w:jc w:val="both"/>
              <w:rPr>
                <w:rFonts w:ascii="Times New Roman" w:hAnsi="Times New Roman" w:cs="Times New Roman"/>
              </w:rPr>
            </w:pPr>
            <w:r>
              <w:t>Pagina web:</w:t>
            </w:r>
          </w:p>
        </w:tc>
        <w:tc>
          <w:tcPr>
            <w:tcW w:w="5103" w:type="dxa"/>
          </w:tcPr>
          <w:p w14:paraId="127C6F76">
            <w:pPr>
              <w:spacing w:line="276" w:lineRule="auto"/>
              <w:rPr>
                <w:rFonts w:ascii="Times New Roman" w:hAnsi="Times New Roman" w:cs="Times New Roman"/>
              </w:rPr>
            </w:pPr>
            <w:r>
              <w:fldChar w:fldCharType="begin"/>
            </w:r>
            <w:r>
              <w:instrText xml:space="preserve"> HYPERLINK "http://www.customs.gov.md" \h </w:instrText>
            </w:r>
            <w:r>
              <w:fldChar w:fldCharType="separate"/>
            </w:r>
            <w:r>
              <w:rPr>
                <w:rFonts w:ascii="Times New Roman" w:hAnsi="Times New Roman" w:cs="Times New Roman"/>
                <w:color w:val="006699"/>
                <w:u w:val="single"/>
              </w:rPr>
              <w:t>www.customs.gov.md</w:t>
            </w:r>
            <w:r>
              <w:rPr>
                <w:rFonts w:ascii="Times New Roman" w:hAnsi="Times New Roman" w:cs="Times New Roman"/>
                <w:color w:val="006699"/>
                <w:u w:val="single"/>
              </w:rPr>
              <w:fldChar w:fldCharType="end"/>
            </w:r>
          </w:p>
        </w:tc>
      </w:tr>
      <w:tr w14:paraId="77B4D8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5" w:hRule="atLeast"/>
        </w:trPr>
        <w:tc>
          <w:tcPr>
            <w:tcW w:w="3964" w:type="dxa"/>
          </w:tcPr>
          <w:p w14:paraId="29980B2E">
            <w:pPr>
              <w:pStyle w:val="59"/>
              <w:spacing w:line="276" w:lineRule="auto"/>
              <w:jc w:val="both"/>
              <w:rPr>
                <w:rFonts w:ascii="Times New Roman" w:hAnsi="Times New Roman" w:cs="Times New Roman"/>
              </w:rPr>
            </w:pPr>
            <w:r>
              <w:t>În scris:</w:t>
            </w:r>
          </w:p>
        </w:tc>
        <w:tc>
          <w:tcPr>
            <w:tcW w:w="5103" w:type="dxa"/>
          </w:tcPr>
          <w:p w14:paraId="48F19A2F">
            <w:pPr>
              <w:pStyle w:val="70"/>
              <w:spacing w:line="276" w:lineRule="auto"/>
              <w:rPr>
                <w:rFonts w:ascii="Times New Roman" w:hAnsi="Times New Roman" w:cs="Times New Roman"/>
              </w:rPr>
            </w:pPr>
            <w:r>
              <w:t>30, str. Nicolae Starostenco, Chișinău, MD-2065</w:t>
            </w:r>
          </w:p>
        </w:tc>
      </w:tr>
      <w:tr w14:paraId="00EFEA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6FF33D2F">
            <w:pPr>
              <w:pStyle w:val="59"/>
              <w:spacing w:line="276" w:lineRule="auto"/>
              <w:jc w:val="both"/>
              <w:rPr>
                <w:rFonts w:ascii="Times New Roman" w:hAnsi="Times New Roman" w:cs="Times New Roman"/>
              </w:rPr>
            </w:pPr>
            <w:r>
              <w:t>Platformele de comunicare socială:</w:t>
            </w:r>
          </w:p>
        </w:tc>
        <w:tc>
          <w:tcPr>
            <w:tcW w:w="5103" w:type="dxa"/>
          </w:tcPr>
          <w:p w14:paraId="617F37B9">
            <w:pPr>
              <w:widowControl w:val="0"/>
              <w:pBdr>
                <w:top w:val="none" w:color="auto" w:sz="0" w:space="0"/>
                <w:left w:val="none" w:color="auto" w:sz="0" w:space="0"/>
                <w:bottom w:val="none" w:color="auto" w:sz="0" w:space="0"/>
                <w:right w:val="none" w:color="auto" w:sz="0" w:space="0"/>
                <w:between w:val="none" w:color="auto" w:sz="0" w:space="0"/>
              </w:pBdr>
              <w:spacing w:line="276" w:lineRule="auto"/>
              <w:rPr>
                <w:rFonts w:ascii="Times New Roman" w:hAnsi="Times New Roman" w:cs="Times New Roman"/>
                <w:color w:val="000000"/>
              </w:rPr>
            </w:pPr>
            <w:r>
              <w:fldChar w:fldCharType="begin"/>
            </w:r>
            <w:r>
              <w:instrText xml:space="preserve"> HYPERLINK "https://www.facebook.com/ServiciulVamalRM" \h </w:instrText>
            </w:r>
            <w:r>
              <w:fldChar w:fldCharType="separate"/>
            </w:r>
            <w:r>
              <w:rPr>
                <w:rFonts w:ascii="Times New Roman" w:hAnsi="Times New Roman" w:cs="Times New Roman"/>
                <w:color w:val="006699"/>
                <w:u w:val="single"/>
              </w:rPr>
              <w:t>https://www.facebook.com/ServiciulVamalRM</w:t>
            </w:r>
            <w:r>
              <w:rPr>
                <w:rFonts w:ascii="Times New Roman" w:hAnsi="Times New Roman" w:cs="Times New Roman"/>
                <w:color w:val="006699"/>
                <w:u w:val="single"/>
              </w:rPr>
              <w:fldChar w:fldCharType="end"/>
            </w:r>
            <w:r>
              <w:rPr>
                <w:rFonts w:ascii="Times New Roman" w:hAnsi="Times New Roman" w:cs="Times New Roman"/>
                <w:color w:val="000000"/>
              </w:rPr>
              <w:t xml:space="preserve">, </w:t>
            </w:r>
          </w:p>
          <w:p w14:paraId="68899397">
            <w:pPr>
              <w:widowControl w:val="0"/>
              <w:pBdr>
                <w:top w:val="none" w:color="auto" w:sz="0" w:space="0"/>
                <w:left w:val="none" w:color="auto" w:sz="0" w:space="0"/>
                <w:bottom w:val="none" w:color="auto" w:sz="0" w:space="0"/>
                <w:right w:val="none" w:color="auto" w:sz="0" w:space="0"/>
                <w:between w:val="none" w:color="auto" w:sz="0" w:space="0"/>
              </w:pBdr>
              <w:spacing w:line="276" w:lineRule="auto"/>
              <w:rPr>
                <w:rFonts w:ascii="Times New Roman" w:hAnsi="Times New Roman" w:eastAsia="Arial" w:cs="Times New Roman"/>
                <w:color w:val="000000"/>
              </w:rPr>
            </w:pPr>
            <w:r>
              <w:fldChar w:fldCharType="begin"/>
            </w:r>
            <w:r>
              <w:instrText xml:space="preserve"> HYPERLINK "https://t.me/s/ServiciulVamalRM" \h </w:instrText>
            </w:r>
            <w:r>
              <w:fldChar w:fldCharType="separate"/>
            </w:r>
            <w:r>
              <w:rPr>
                <w:rFonts w:ascii="Times New Roman" w:hAnsi="Times New Roman" w:cs="Times New Roman"/>
                <w:color w:val="006699"/>
                <w:u w:val="single"/>
              </w:rPr>
              <w:t>https://t.me/s/ServiciulVamalRM</w:t>
            </w:r>
            <w:r>
              <w:rPr>
                <w:rFonts w:ascii="Times New Roman" w:hAnsi="Times New Roman" w:cs="Times New Roman"/>
                <w:color w:val="006699"/>
                <w:u w:val="single"/>
              </w:rPr>
              <w:fldChar w:fldCharType="end"/>
            </w:r>
          </w:p>
        </w:tc>
      </w:tr>
      <w:tr w14:paraId="22C667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3964" w:type="dxa"/>
          </w:tcPr>
          <w:p w14:paraId="0F028C35">
            <w:pPr>
              <w:pStyle w:val="59"/>
              <w:spacing w:line="276" w:lineRule="auto"/>
              <w:jc w:val="both"/>
              <w:rPr>
                <w:rFonts w:ascii="Times New Roman" w:hAnsi="Times New Roman" w:cs="Times New Roman"/>
              </w:rPr>
            </w:pPr>
            <w:r>
              <w:t>Telefoane:</w:t>
            </w:r>
          </w:p>
        </w:tc>
        <w:tc>
          <w:tcPr>
            <w:tcW w:w="5103" w:type="dxa"/>
          </w:tcPr>
          <w:p w14:paraId="6FC990D6">
            <w:pPr>
              <w:pStyle w:val="59"/>
              <w:spacing w:line="276" w:lineRule="auto"/>
              <w:rPr>
                <w:rFonts w:ascii="Times New Roman" w:hAnsi="Times New Roman" w:cs="Times New Roman"/>
              </w:rPr>
            </w:pPr>
            <w:r>
              <w:t>+373 22 574 182 / 574 133</w:t>
            </w:r>
          </w:p>
        </w:tc>
      </w:tr>
      <w:tr w14:paraId="64423A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3075D974">
            <w:pPr>
              <w:pStyle w:val="59"/>
              <w:spacing w:line="276" w:lineRule="auto"/>
              <w:jc w:val="both"/>
              <w:rPr>
                <w:rFonts w:ascii="Times New Roman" w:hAnsi="Times New Roman" w:cs="Times New Roman"/>
              </w:rPr>
            </w:pPr>
            <w:r>
              <w:t>Centru de apeluri 24/24</w:t>
            </w:r>
          </w:p>
        </w:tc>
        <w:tc>
          <w:tcPr>
            <w:tcW w:w="5103" w:type="dxa"/>
          </w:tcPr>
          <w:p w14:paraId="342400DF">
            <w:pPr>
              <w:pStyle w:val="59"/>
              <w:spacing w:line="276" w:lineRule="auto"/>
              <w:rPr>
                <w:rFonts w:ascii="Times New Roman" w:hAnsi="Times New Roman" w:cs="Times New Roman"/>
              </w:rPr>
            </w:pPr>
            <w:r>
              <w:t>+373 22 78-88-88</w:t>
            </w:r>
          </w:p>
        </w:tc>
      </w:tr>
      <w:tr w14:paraId="486648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5BD14274">
            <w:pPr>
              <w:pStyle w:val="59"/>
              <w:spacing w:line="276" w:lineRule="auto"/>
              <w:jc w:val="both"/>
              <w:rPr>
                <w:rFonts w:ascii="Times New Roman" w:hAnsi="Times New Roman" w:cs="Times New Roman"/>
              </w:rPr>
            </w:pPr>
            <w:r>
              <w:t xml:space="preserve">Linie specializată anticorupție </w:t>
            </w:r>
          </w:p>
        </w:tc>
        <w:tc>
          <w:tcPr>
            <w:tcW w:w="5103" w:type="dxa"/>
          </w:tcPr>
          <w:p w14:paraId="05EF4CE9">
            <w:pPr>
              <w:pStyle w:val="59"/>
              <w:spacing w:line="276" w:lineRule="auto"/>
              <w:rPr>
                <w:rFonts w:ascii="Times New Roman" w:hAnsi="Times New Roman" w:cs="Times New Roman"/>
                <w:b/>
              </w:rPr>
            </w:pPr>
            <w:r>
              <w:t>+373 22 78-88-88</w:t>
            </w:r>
          </w:p>
        </w:tc>
      </w:tr>
      <w:tr w14:paraId="6878CC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16EFD07E">
            <w:pPr>
              <w:pStyle w:val="59"/>
              <w:spacing w:line="276" w:lineRule="auto"/>
              <w:jc w:val="both"/>
              <w:rPr>
                <w:rFonts w:ascii="Times New Roman" w:hAnsi="Times New Roman" w:cs="Times New Roman"/>
              </w:rPr>
            </w:pPr>
            <w:r>
              <w:t>Centrul de apeluri One Stop</w:t>
            </w:r>
          </w:p>
        </w:tc>
        <w:tc>
          <w:tcPr>
            <w:tcW w:w="5103" w:type="dxa"/>
          </w:tcPr>
          <w:p w14:paraId="091E3F8D">
            <w:pPr>
              <w:spacing w:line="276" w:lineRule="auto"/>
              <w:rPr>
                <w:rFonts w:ascii="Times New Roman" w:hAnsi="Times New Roman" w:cs="Times New Roman"/>
              </w:rPr>
            </w:pPr>
            <w:r>
              <w:rPr>
                <w:rFonts w:ascii="Times New Roman" w:hAnsi="Times New Roman" w:cs="Times New Roman"/>
              </w:rPr>
              <w:t xml:space="preserve">tel: +373 22 78 88 88, callcenter@customs.gov.md și </w:t>
            </w:r>
            <w:r>
              <w:fldChar w:fldCharType="begin"/>
            </w:r>
            <w:r>
              <w:instrText xml:space="preserve"> HYPERLINK "mailto:vama@customs.gov.md" \h </w:instrText>
            </w:r>
            <w:r>
              <w:fldChar w:fldCharType="separate"/>
            </w:r>
            <w:r>
              <w:rPr>
                <w:rFonts w:ascii="Times New Roman" w:hAnsi="Times New Roman" w:cs="Times New Roman"/>
              </w:rPr>
              <w:t>vama@customs.gov.md</w:t>
            </w:r>
            <w:r>
              <w:rPr>
                <w:rFonts w:ascii="Times New Roman" w:hAnsi="Times New Roman" w:cs="Times New Roman"/>
              </w:rPr>
              <w:fldChar w:fldCharType="end"/>
            </w:r>
            <w:r>
              <w:rPr>
                <w:rFonts w:ascii="Times New Roman" w:hAnsi="Times New Roman" w:cs="Times New Roman"/>
              </w:rPr>
              <w:t>(24/24)</w:t>
            </w:r>
          </w:p>
        </w:tc>
      </w:tr>
    </w:tbl>
    <w:sdt>
      <w:sdtPr>
        <w:rPr>
          <w:rFonts w:ascii="Times New Roman" w:hAnsi="Times New Roman" w:cs="Times New Roman"/>
        </w:rPr>
        <w:tag w:val="goog_rdk_51"/>
        <w:id w:val="1134213907"/>
      </w:sdtPr>
      <w:sdtEndPr>
        <w:rPr>
          <w:rFonts w:ascii="Times New Roman" w:hAnsi="Times New Roman" w:cs="Times New Roman"/>
        </w:rPr>
      </w:sdtEndPr>
      <w:sdtContent>
        <w:p w14:paraId="4A3FED05">
          <w:pPr>
            <w:pStyle w:val="59"/>
            <w:spacing w:line="308" w:lineRule="auto"/>
            <w:jc w:val="both"/>
            <w:rPr>
              <w:rFonts w:ascii="Times New Roman" w:hAnsi="Times New Roman" w:cs="Times New Roman"/>
              <w:b/>
              <w:highlight w:val="cyan"/>
            </w:rPr>
          </w:pPr>
          <w:sdt>
            <w:sdtPr>
              <w:rPr>
                <w:rFonts w:ascii="Times New Roman" w:hAnsi="Times New Roman" w:cs="Times New Roman"/>
              </w:rPr>
              <w:tag w:val="goog_rdk_50"/>
              <w:id w:val="-1302924267"/>
              <w:showingPlcHdr/>
            </w:sdtPr>
            <w:sdtEndPr>
              <w:rPr>
                <w:rFonts w:ascii="Times New Roman" w:hAnsi="Times New Roman" w:cs="Times New Roman"/>
              </w:rPr>
            </w:sdtEndPr>
            <w:sdtContent/>
          </w:sdt>
        </w:p>
      </w:sdtContent>
    </w:sdt>
    <w:p w14:paraId="1174C28B">
      <w:pPr>
        <w:pStyle w:val="61"/>
        <w:spacing w:line="308" w:lineRule="auto"/>
        <w:jc w:val="both"/>
        <w:rPr>
          <w:rFonts w:ascii="Times New Roman" w:hAnsi="Times New Roman" w:cs="Times New Roman"/>
          <w:color w:val="000000"/>
        </w:rPr>
      </w:pPr>
      <w:r>
        <w:rPr>
          <w:rFonts w:hint="default"/>
          <w:lang w:val="ro-RO"/>
        </w:rPr>
        <w:t>UIP</w:t>
      </w:r>
      <w:r>
        <w:t xml:space="preserve">, consultanții, contractanții și subcontractanții asigură diseminarea informațiilor cu privire la proiect, inclusiv a </w:t>
      </w:r>
      <w:r>
        <w:rPr>
          <w:rFonts w:hint="default"/>
          <w:lang w:val="ro-RO"/>
        </w:rPr>
        <w:t xml:space="preserve">mecanismelor </w:t>
      </w:r>
      <w:r>
        <w:t xml:space="preserve"> </w:t>
      </w:r>
      <w:r>
        <w:rPr>
          <w:rFonts w:hint="default"/>
          <w:lang w:val="ro-RO"/>
        </w:rPr>
        <w:t xml:space="preserve">GRM, precum și </w:t>
      </w:r>
      <w:r>
        <w:t xml:space="preserve">SEA/SH, către toți lucrătorii și populația locală, prin consultări, evenimente de sensibilizare și materiale informative postate la locurile accesibile părților interesate (de exemplu, </w:t>
      </w:r>
      <w:r>
        <w:rPr>
          <w:rFonts w:hint="default"/>
          <w:lang w:val="ro-RO"/>
        </w:rPr>
        <w:t>panouri proiect</w:t>
      </w:r>
      <w:r>
        <w:t xml:space="preserve">, site-uri web, sedii ale APL etc.). Informațiile privind procedurile de raportare vor fi postate în ferestrele electronice ale proiectului, care vor fi create pe site-ul oficial al Serviciului Vamal, cu privire la implementarea proiectului.     </w:t>
      </w:r>
    </w:p>
    <w:p w14:paraId="47580D49">
      <w:pPr>
        <w:spacing w:line="308" w:lineRule="auto"/>
        <w:jc w:val="both"/>
        <w:rPr>
          <w:rFonts w:ascii="Times New Roman" w:hAnsi="Times New Roman" w:cs="Times New Roman"/>
          <w:b/>
          <w:color w:val="000000"/>
        </w:rPr>
      </w:pPr>
    </w:p>
    <w:p w14:paraId="18028B9A">
      <w:pPr>
        <w:pStyle w:val="68"/>
        <w:spacing w:line="308" w:lineRule="auto"/>
        <w:jc w:val="both"/>
        <w:rPr>
          <w:rFonts w:ascii="Times New Roman" w:hAnsi="Times New Roman" w:cs="Times New Roman"/>
          <w:b/>
          <w:color w:val="000000"/>
        </w:rPr>
      </w:pPr>
      <w:r>
        <w:t>Confidențialitatea și conflictul de interese</w:t>
      </w:r>
    </w:p>
    <w:p w14:paraId="3AAE1C15">
      <w:pPr>
        <w:pStyle w:val="61"/>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t xml:space="preserve">Confidențialitatea va fi asigurată în toate cazurile, inclusiv atunci când persoana care depune plângerea este cunoscută. Din acest motiv, au fost stabilite mai multe </w:t>
      </w:r>
      <w:r>
        <w:rPr>
          <w:rFonts w:hint="default"/>
          <w:lang w:val="ro-RO"/>
        </w:rPr>
        <w:t>mecanisme</w:t>
      </w:r>
      <w:r>
        <w:t xml:space="preserve"> de depunere a unei plângeri și vor fi evitate conflictele de interese.</w:t>
      </w:r>
    </w:p>
    <w:p w14:paraId="4FD81B65">
      <w:pPr>
        <w:pStyle w:val="59"/>
        <w:spacing w:line="276" w:lineRule="auto"/>
        <w:jc w:val="both"/>
        <w:rPr>
          <w:rFonts w:ascii="Times New Roman" w:hAnsi="Times New Roman" w:cs="Times New Roman"/>
        </w:rPr>
      </w:pPr>
      <w:r>
        <w:t>Proiectul se angajează să protejeze reclamanții împotriva represaliilor sau a discriminării pentru depunerea plângerilor.</w:t>
      </w:r>
    </w:p>
    <w:p w14:paraId="436AA57F">
      <w:pPr>
        <w:pStyle w:val="68"/>
        <w:spacing w:line="308" w:lineRule="auto"/>
        <w:jc w:val="both"/>
        <w:rPr>
          <w:rFonts w:ascii="Times New Roman" w:hAnsi="Times New Roman" w:cs="Times New Roman"/>
          <w:b/>
          <w:color w:val="000000"/>
        </w:rPr>
      </w:pPr>
      <w:bookmarkStart w:id="6" w:name="_heading=h.30j0zll" w:colFirst="0" w:colLast="0"/>
      <w:bookmarkEnd w:id="6"/>
      <w:bookmarkStart w:id="7" w:name="_Toc184883428"/>
      <w:r>
        <w:t>Procesul de investigare și soluționare a reclamațiilor</w:t>
      </w:r>
      <w:bookmarkEnd w:id="7"/>
    </w:p>
    <w:p w14:paraId="73BD005B">
      <w:pPr>
        <w:pStyle w:val="59"/>
        <w:spacing w:line="276" w:lineRule="auto"/>
        <w:jc w:val="both"/>
        <w:rPr>
          <w:rFonts w:ascii="Times New Roman" w:hAnsi="Times New Roman" w:cs="Times New Roman"/>
        </w:rPr>
      </w:pPr>
      <w:r>
        <w:t>GRM este conceput pentru a se asigura că plângerile și preocupările părților afectate de proiect sunt tratate în mod echitabil, transparent și în timp util. Procesul constă în următoarele etape-cheie:</w:t>
      </w:r>
    </w:p>
    <w:p w14:paraId="5746DD0C">
      <w:pPr>
        <w:pStyle w:val="68"/>
        <w:numPr>
          <w:ilvl w:val="3"/>
          <w:numId w:val="0"/>
        </w:numPr>
        <w:pBdr>
          <w:top w:val="none" w:color="auto" w:sz="0" w:space="0"/>
          <w:left w:val="none" w:color="auto" w:sz="0" w:space="0"/>
          <w:bottom w:val="none" w:color="auto" w:sz="0" w:space="0"/>
          <w:right w:val="none" w:color="auto" w:sz="0" w:space="0"/>
          <w:between w:val="none" w:color="auto" w:sz="0" w:space="0"/>
        </w:pBdr>
        <w:spacing w:line="276" w:lineRule="auto"/>
        <w:ind w:left="2880" w:hanging="360"/>
        <w:jc w:val="both"/>
        <w:rPr>
          <w:rFonts w:ascii="Times New Roman" w:hAnsi="Times New Roman" w:cs="Times New Roman"/>
          <w:b/>
          <w:color w:val="000000"/>
        </w:rPr>
      </w:pPr>
      <w:r>
        <w:t>Etapa de recunoaștere</w:t>
      </w:r>
    </w:p>
    <w:p w14:paraId="5733450F">
      <w:pPr>
        <w:jc w:val="both"/>
        <w:rPr>
          <w:rFonts w:ascii="Times New Roman" w:hAnsi="Times New Roman" w:cs="Times New Roman"/>
        </w:rPr>
      </w:pPr>
      <w:sdt>
        <w:sdtPr>
          <w:rPr>
            <w:rFonts w:ascii="Times New Roman" w:hAnsi="Times New Roman" w:cs="Times New Roman"/>
          </w:rPr>
          <w:tag w:val="goog_rdk_52"/>
          <w:id w:val="537165431"/>
        </w:sdtPr>
        <w:sdtEndPr>
          <w:rPr>
            <w:rFonts w:ascii="Times New Roman" w:hAnsi="Times New Roman" w:cs="Times New Roman"/>
          </w:rPr>
        </w:sdtEndPr>
        <w:sdtContent/>
      </w:sdt>
      <w:r>
        <w:rPr>
          <w:rFonts w:ascii="Times New Roman" w:hAnsi="Times New Roman" w:cs="Times New Roman"/>
        </w:rPr>
        <w:t>La primirea oricărei plângeri, punctele focale MCS GRM vor recunoaște plângerea în timp util.  Reclamantului i se va furniza un număr de referință al plângerii, care va fi înregistrat în Registrul plângerilor. Punctele focale respective vor informa, de asemenea, reclamantul cu privire la datele de contact ale persoanei responsabile cu urmărirea plângerii și vor furniza informații relevante cu privire la procesul de soluționare a plângerilor.</w:t>
      </w:r>
    </w:p>
    <w:p w14:paraId="64ED3F6B">
      <w:pPr>
        <w:rPr>
          <w:rFonts w:ascii="Times New Roman" w:hAnsi="Times New Roman" w:cs="Times New Roman"/>
        </w:rPr>
      </w:pPr>
    </w:p>
    <w:p w14:paraId="7CA6C615">
      <w:pPr>
        <w:pStyle w:val="59"/>
        <w:jc w:val="both"/>
        <w:rPr>
          <w:rFonts w:ascii="Times New Roman" w:hAnsi="Times New Roman" w:cs="Times New Roman"/>
        </w:rPr>
      </w:pPr>
      <w:r>
        <w:t xml:space="preserve">În cazul în care plângerile sunt depuse direct la contractantul de construcții, inginerul de supraveghere sau SIMC, acesta va lua măsuri imediate pentru soluționarea plângerii și va informa autoritățile contractante cu privire la plângerea primită, precum și cu privire la acțiunile întreprinse. Autoritățile vor fi notificate în funcție de activitățile în cauză, </w:t>
      </w:r>
    </w:p>
    <w:p w14:paraId="250A0825">
      <w:pPr>
        <w:jc w:val="both"/>
        <w:rPr>
          <w:rFonts w:ascii="Times New Roman" w:hAnsi="Times New Roman" w:cs="Times New Roman"/>
          <w:highlight w:val="cyan"/>
        </w:rPr>
      </w:pPr>
    </w:p>
    <w:p w14:paraId="0CE7384E">
      <w:pPr>
        <w:pStyle w:val="59"/>
        <w:jc w:val="both"/>
        <w:rPr>
          <w:rFonts w:ascii="Times New Roman" w:hAnsi="Times New Roman" w:cs="Times New Roman"/>
        </w:rPr>
      </w:pPr>
      <w:r>
        <w:t xml:space="preserve">Plângerile pot fi depuse prin diverse canale, cum ar fi e-mail, telefon, în persoană. La primirea unei plângeri, contractantul o recunoaște într-un anumit interval de timp (de exemplu, 24-48 de ore) și îi furnizează reclamantului un număr de referință. Plângerea este înregistrată într-un registru de reclamații. Contractantul, </w:t>
      </w:r>
      <w:r>
        <w:rPr>
          <w:rFonts w:hint="default"/>
          <w:lang w:val="ro-RO"/>
        </w:rPr>
        <w:t>Dirigintele de șantier</w:t>
      </w:r>
      <w:r>
        <w:t xml:space="preserve"> sau SIMC, evaluează gravitatea și natura plângerii pentru a determina dacă aceasta poate fi soluționată intern sau necesită o intervenție externă. Contractantul, S</w:t>
      </w:r>
      <w:r>
        <w:rPr>
          <w:rFonts w:hint="default"/>
          <w:lang w:val="ro-RO"/>
        </w:rPr>
        <w:t>Dirigintele de șantier</w:t>
      </w:r>
      <w:r>
        <w:t xml:space="preserve"> sau SIMC, propune o soluție pentru a aborda nemulțumirea.  Reclamantul este informat cu privire la rezoluție și la orice măsuri luate, inclusiv cu privire la termenele de punere în aplicare. Contractantul, </w:t>
      </w:r>
      <w:r>
        <w:rPr>
          <w:rFonts w:hint="default"/>
          <w:lang w:val="ro-RO"/>
        </w:rPr>
        <w:t>Dirigintele de șantier</w:t>
      </w:r>
      <w:r>
        <w:t xml:space="preserve"> sau SIMC, se asigură că rezoluția este pusă în aplicare în mod corespunzător și monitorizează dacă problema este abordată în mod eficient, prevenind recurența.</w:t>
      </w:r>
    </w:p>
    <w:p w14:paraId="1D67B90B">
      <w:pPr>
        <w:rPr>
          <w:rFonts w:ascii="Times New Roman" w:hAnsi="Times New Roman" w:cs="Times New Roman"/>
          <w:b/>
        </w:rPr>
      </w:pPr>
    </w:p>
    <w:p w14:paraId="2F329105">
      <w:pPr>
        <w:pStyle w:val="68"/>
        <w:numPr>
          <w:ilvl w:val="3"/>
          <w:numId w:val="0"/>
        </w:numPr>
        <w:pBdr>
          <w:top w:val="none" w:color="auto" w:sz="0" w:space="0"/>
          <w:left w:val="none" w:color="auto" w:sz="0" w:space="0"/>
          <w:bottom w:val="none" w:color="auto" w:sz="0" w:space="0"/>
          <w:right w:val="none" w:color="auto" w:sz="0" w:space="0"/>
          <w:between w:val="none" w:color="auto" w:sz="0" w:space="0"/>
        </w:pBdr>
        <w:spacing w:line="276" w:lineRule="auto"/>
        <w:ind w:left="2880" w:hanging="360"/>
        <w:rPr>
          <w:rFonts w:ascii="Times New Roman" w:hAnsi="Times New Roman" w:cs="Times New Roman"/>
          <w:b/>
          <w:color w:val="000000"/>
        </w:rPr>
      </w:pPr>
      <w:r>
        <w:t>Sortare și prelucrare</w:t>
      </w:r>
    </w:p>
    <w:p w14:paraId="0656CF2A">
      <w:pPr>
        <w:pStyle w:val="59"/>
        <w:jc w:val="both"/>
        <w:rPr>
          <w:rFonts w:ascii="Times New Roman" w:hAnsi="Times New Roman" w:cs="Times New Roman"/>
        </w:rPr>
      </w:pPr>
      <w:r>
        <w:t xml:space="preserve">Contractantul este responsabil pentru păstrarea înregistrărilor tuturor reclamațiilor primite pe </w:t>
      </w:r>
      <w:r>
        <w:rPr>
          <w:rFonts w:hint="default"/>
          <w:lang w:val="ro-RO"/>
        </w:rPr>
        <w:t>amplasament</w:t>
      </w:r>
      <w:r>
        <w:t xml:space="preserve">, inclusiv data și ora la care au fost primite și detaliile problemei.  Contractantul va documenta într-un registru toate reclamațiile și solicitările, chiar și reclamațiile verbale, și modul în care acestea au fost soluționate, și va include registrul în rapoartele sale periodice de progres către Inginerul de supraveghere.    Contractantul se va coordona cu SIMC după cum este necesar.  </w:t>
      </w:r>
    </w:p>
    <w:p w14:paraId="4B5632DB">
      <w:pPr>
        <w:jc w:val="both"/>
        <w:rPr>
          <w:rFonts w:ascii="Times New Roman" w:hAnsi="Times New Roman" w:cs="Times New Roman"/>
        </w:rPr>
      </w:pPr>
    </w:p>
    <w:p w14:paraId="44E9E907">
      <w:pPr>
        <w:spacing w:line="276" w:lineRule="auto"/>
        <w:jc w:val="both"/>
        <w:rPr>
          <w:rFonts w:ascii="Times New Roman" w:hAnsi="Times New Roman" w:cs="Times New Roman"/>
        </w:rPr>
      </w:pPr>
      <w:r>
        <w:rPr>
          <w:rFonts w:ascii="Times New Roman" w:hAnsi="Times New Roman" w:cs="Times New Roman"/>
        </w:rPr>
        <w:t xml:space="preserve">La primirea unei plângeri la fața locului, aspectele legate de activitățile de construcție care pot fi soluționate prompt vor fi soluționate de contractant, care va investiga și va stabili un plan de soluționare spre satisfacția reclamanților.  Contractantul se va coordona cu SIMC, după caz.   Contractantul și / sau SIMC-urile vor lua măsuri imediate pentru a soluționa reclamația și a rezolva problema în termen de </w:t>
      </w:r>
      <w:sdt>
        <w:sdtPr>
          <w:rPr>
            <w:rFonts w:ascii="Times New Roman" w:hAnsi="Times New Roman" w:cs="Times New Roman"/>
          </w:rPr>
          <w:tag w:val="goog_rdk_56"/>
          <w:id w:val="-423727297"/>
        </w:sdtPr>
        <w:sdtEndPr>
          <w:rPr>
            <w:rFonts w:ascii="Times New Roman" w:hAnsi="Times New Roman" w:cs="Times New Roman"/>
          </w:rPr>
        </w:sdtEndPr>
        <w:sdtContent/>
      </w:sdt>
      <w:sdt>
        <w:sdtPr>
          <w:rPr>
            <w:rFonts w:ascii="Times New Roman" w:hAnsi="Times New Roman" w:cs="Times New Roman"/>
          </w:rPr>
          <w:tag w:val="goog_rdk_57"/>
          <w:id w:val="298960048"/>
        </w:sdtPr>
        <w:sdtEndPr>
          <w:rPr>
            <w:rFonts w:ascii="Times New Roman" w:hAnsi="Times New Roman" w:cs="Times New Roman"/>
          </w:rPr>
        </w:sdtEndPr>
        <w:sdtContent/>
      </w:sdt>
      <w:sdt>
        <w:sdtPr>
          <w:rPr>
            <w:rFonts w:ascii="Times New Roman" w:hAnsi="Times New Roman" w:cs="Times New Roman"/>
          </w:rPr>
          <w:tag w:val="goog_rdk_58"/>
          <w:id w:val="27619793"/>
        </w:sdtPr>
        <w:sdtEndPr>
          <w:rPr>
            <w:rFonts w:ascii="Times New Roman" w:hAnsi="Times New Roman" w:cs="Times New Roman"/>
          </w:rPr>
        </w:sdtEndPr>
        <w:sdtContent/>
      </w:sdt>
      <w:r>
        <w:rPr>
          <w:rFonts w:ascii="Times New Roman" w:hAnsi="Times New Roman" w:cs="Times New Roman"/>
        </w:rPr>
        <w:t xml:space="preserve">15 zile. După finalizarea și acceptarea rezoluției de către reclamant, contractantul va furniza </w:t>
      </w:r>
      <w:sdt>
        <w:sdtPr>
          <w:rPr>
            <w:rFonts w:ascii="Times New Roman" w:hAnsi="Times New Roman" w:cs="Times New Roman"/>
          </w:rPr>
          <w:tag w:val="goog_rdk_59"/>
          <w:id w:val="-43291286"/>
        </w:sdtPr>
        <w:sdtEndPr>
          <w:rPr>
            <w:rFonts w:ascii="Times New Roman" w:hAnsi="Times New Roman" w:cs="Times New Roman"/>
          </w:rPr>
        </w:sdtEndPr>
        <w:sdtContent/>
      </w:sdt>
      <w:sdt>
        <w:sdtPr>
          <w:rPr>
            <w:rFonts w:ascii="Times New Roman" w:hAnsi="Times New Roman" w:cs="Times New Roman"/>
          </w:rPr>
          <w:tag w:val="goog_rdk_60"/>
          <w:id w:val="-1019308165"/>
          <w:showingPlcHdr/>
        </w:sdtPr>
        <w:sdtEndPr>
          <w:rPr>
            <w:rFonts w:ascii="Times New Roman" w:hAnsi="Times New Roman" w:cs="Times New Roman"/>
          </w:rPr>
        </w:sdtEndPr>
        <w:sdtContent>
          <w:r>
            <w:rPr>
              <w:rFonts w:ascii="Times New Roman" w:hAnsi="Times New Roman" w:cs="Times New Roman"/>
              <w:lang w:val="ro-RO"/>
            </w:rPr>
            <w:t xml:space="preserve">     </w:t>
          </w:r>
        </w:sdtContent>
      </w:sdt>
      <w:r>
        <w:rPr>
          <w:rFonts w:hint="default" w:ascii="Times New Roman" w:hAnsi="Times New Roman" w:cs="Times New Roman"/>
          <w:lang w:val="ro-RO"/>
        </w:rPr>
        <w:t xml:space="preserve">MCS </w:t>
      </w:r>
      <w:r>
        <w:rPr>
          <w:rFonts w:ascii="Times New Roman" w:hAnsi="Times New Roman" w:cs="Times New Roman"/>
        </w:rPr>
        <w:t xml:space="preserve"> un raport de sinteză privind soluționarea plângerilor (</w:t>
      </w:r>
      <w:r>
        <w:rPr>
          <w:rFonts w:hint="default" w:ascii="Times New Roman" w:hAnsi="Times New Roman" w:cs="Times New Roman"/>
          <w:lang w:val="ro-RO"/>
        </w:rPr>
        <w:t>către SRA -</w:t>
      </w:r>
      <w:r>
        <w:rPr>
          <w:rFonts w:ascii="Times New Roman" w:hAnsi="Times New Roman" w:cs="Times New Roman"/>
        </w:rPr>
        <w:t xml:space="preserve"> plângerile referitoare la infrastructura rutieră, </w:t>
      </w:r>
      <w:r>
        <w:rPr>
          <w:rFonts w:hint="default" w:ascii="Times New Roman" w:hAnsi="Times New Roman" w:cs="Times New Roman"/>
          <w:lang w:val="ro-RO"/>
        </w:rPr>
        <w:t>MCS -</w:t>
      </w:r>
      <w:r>
        <w:rPr>
          <w:rFonts w:ascii="Times New Roman" w:hAnsi="Times New Roman" w:cs="Times New Roman"/>
        </w:rPr>
        <w:t xml:space="preserve"> plângerile referitoare la infrastructura vamală).</w:t>
      </w:r>
    </w:p>
    <w:p w14:paraId="2523C751">
      <w:pPr>
        <w:pStyle w:val="59"/>
        <w:jc w:val="both"/>
        <w:rPr>
          <w:rFonts w:ascii="Times New Roman" w:hAnsi="Times New Roman" w:cs="Times New Roman"/>
        </w:rPr>
      </w:pPr>
      <w:r>
        <w:rPr>
          <w:rFonts w:hint="default"/>
          <w:lang w:val="ro-RO"/>
        </w:rPr>
        <w:t>Dirigintele de șantie</w:t>
      </w:r>
      <w:r>
        <w:t xml:space="preserve"> este responsabil de tratarea plângerilor primite în mod direct, de supravegherea răspunsului contractantului la plângeri și de coordonarea cu SIMC, după caz.  Plângerile legate de impactul negativ grav asupra mediului și de impactul social, în conformitate cu </w:t>
      </w:r>
      <w:r>
        <w:rPr>
          <w:rFonts w:hint="default"/>
          <w:lang w:val="ro-RO"/>
        </w:rPr>
        <w:t>ESCP</w:t>
      </w:r>
      <w:r>
        <w:t xml:space="preserve">, ar trebui raportate imediat.   </w:t>
      </w:r>
    </w:p>
    <w:p w14:paraId="68A22BB7">
      <w:pPr>
        <w:spacing w:line="276" w:lineRule="auto"/>
        <w:jc w:val="both"/>
        <w:rPr>
          <w:rFonts w:ascii="Times New Roman" w:hAnsi="Times New Roman" w:cs="Times New Roman"/>
        </w:rPr>
      </w:pPr>
    </w:p>
    <w:p w14:paraId="3073FBA6">
      <w:pPr>
        <w:pStyle w:val="59"/>
        <w:spacing w:line="276" w:lineRule="auto"/>
        <w:jc w:val="both"/>
        <w:rPr>
          <w:rFonts w:ascii="Times New Roman" w:hAnsi="Times New Roman" w:cs="Times New Roman"/>
        </w:rPr>
      </w:pPr>
      <w:r>
        <w:t xml:space="preserve">SIMC va stabili, de asemenea, proceduri pentru documentarea tuturor plângerilor primite, a statutului acestora și a rezultatului.  </w:t>
      </w:r>
    </w:p>
    <w:p w14:paraId="6C89E5EB">
      <w:pPr>
        <w:spacing w:line="276" w:lineRule="auto"/>
        <w:jc w:val="both"/>
        <w:rPr>
          <w:rFonts w:ascii="Times New Roman" w:hAnsi="Times New Roman" w:cs="Times New Roman"/>
        </w:rPr>
      </w:pPr>
    </w:p>
    <w:p w14:paraId="014667AE">
      <w:pPr>
        <w:pStyle w:val="59"/>
        <w:spacing w:line="276" w:lineRule="auto"/>
        <w:jc w:val="both"/>
        <w:rPr>
          <w:rFonts w:ascii="Times New Roman" w:hAnsi="Times New Roman" w:cs="Times New Roman"/>
        </w:rPr>
      </w:pPr>
      <w:r>
        <w:t xml:space="preserve">Pentru plângerile critice, mai complexe (care necesită mai mult de 15 zile) sau nesoluționate la nivelul 1 al GRM, problemele vor fi escaladate la nivelul 2 către UIP. </w:t>
      </w:r>
    </w:p>
    <w:p w14:paraId="050422B4">
      <w:pPr>
        <w:spacing w:line="276" w:lineRule="auto"/>
        <w:jc w:val="both"/>
        <w:rPr>
          <w:rFonts w:ascii="Times New Roman" w:hAnsi="Times New Roman" w:cs="Times New Roman"/>
        </w:rPr>
      </w:pPr>
    </w:p>
    <w:p w14:paraId="0AB4187B">
      <w:pPr>
        <w:pStyle w:val="71"/>
        <w:spacing w:line="276" w:lineRule="auto"/>
        <w:jc w:val="both"/>
        <w:rPr>
          <w:rFonts w:ascii="Times New Roman" w:hAnsi="Times New Roman" w:cs="Times New Roman"/>
          <w:i/>
          <w:iCs/>
        </w:rPr>
      </w:pPr>
      <w:r>
        <w:t>Pentru beneficiarii proiectului:</w:t>
      </w:r>
    </w:p>
    <w:p w14:paraId="3A1BD16D">
      <w:pPr>
        <w:pStyle w:val="59"/>
        <w:spacing w:line="276" w:lineRule="auto"/>
        <w:jc w:val="both"/>
        <w:rPr>
          <w:rFonts w:ascii="Times New Roman" w:hAnsi="Times New Roman" w:cs="Times New Roman"/>
        </w:rPr>
      </w:pPr>
      <w:r>
        <w:t>Punctele focale sunt considerate principalele puncte de contact pentru întrebări sau clarificări cu privire la procesul GRM. Acestea asigură o legătură directă între comunitățile afectate și instituțiile care pun în aplicare proiectul.</w:t>
      </w:r>
    </w:p>
    <w:p w14:paraId="583E19A5">
      <w:pPr>
        <w:spacing w:line="276" w:lineRule="auto"/>
        <w:jc w:val="both"/>
        <w:rPr>
          <w:rFonts w:ascii="Times New Roman" w:hAnsi="Times New Roman" w:cs="Times New Roman"/>
          <w:color w:val="00FFFF"/>
        </w:rPr>
      </w:pPr>
    </w:p>
    <w:p w14:paraId="616AB332">
      <w:pPr>
        <w:pStyle w:val="59"/>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FFFF"/>
        </w:rPr>
      </w:pPr>
      <w:r>
        <w:t xml:space="preserve">Punctele focale ale </w:t>
      </w:r>
      <w:r>
        <w:rPr>
          <w:rFonts w:hint="default"/>
          <w:lang w:val="ro-RO"/>
        </w:rPr>
        <w:t>MCs</w:t>
      </w:r>
      <w:r>
        <w:t xml:space="preserve"> vor efectua o analiză cuprinzătoare a plângerilor primite de canalele lor respective și vor lua decizii pentru a aborda problema în mod eficace. Astfel, fiecare punct focal SRA/MCS va gestiona plângerile aferente. De asemenea, punctul focal MCS este responsabil de transmiterea informațiilor și a acțiunilor întreprinse către punctul focal SRA, în vederea întocmirii registrului unic privind implementarea proiectului cu informațiile complexe.</w:t>
      </w:r>
    </w:p>
    <w:p w14:paraId="5569605A">
      <w:pPr>
        <w:jc w:val="both"/>
        <w:rPr>
          <w:rFonts w:ascii="Times New Roman" w:hAnsi="Times New Roman" w:cs="Times New Roman"/>
          <w:color w:val="00FFFF"/>
        </w:rPr>
      </w:pPr>
    </w:p>
    <w:p w14:paraId="46A238B5">
      <w:pPr>
        <w:pStyle w:val="59"/>
        <w:jc w:val="both"/>
        <w:rPr>
          <w:rFonts w:ascii="Times New Roman" w:hAnsi="Times New Roman" w:cs="Times New Roman"/>
        </w:rPr>
      </w:pPr>
      <w:r>
        <w:t>Punctele focale SRA/MCS sunt responsabile de evaluarea naturii și gravității plângerilor primite pentru clasificarea plângerilor în funcție de nivelurile de prioritate, cum ar fi problemele urgente, moderate sau cu impact redus.   Nemulțumirile care necesită o intervenție de nivel superior</w:t>
      </w:r>
      <w:r>
        <w:footnoteReference w:id="0"/>
      </w:r>
      <w:r>
        <w:t xml:space="preserve"> sau care nu sunt soluționate după această dată vor fi transmise coordonatorului UIP.</w:t>
      </w:r>
    </w:p>
    <w:p w14:paraId="586653B1">
      <w:pPr>
        <w:jc w:val="both"/>
        <w:rPr>
          <w:rFonts w:ascii="Times New Roman" w:hAnsi="Times New Roman" w:cs="Times New Roman"/>
        </w:rPr>
      </w:pPr>
    </w:p>
    <w:p w14:paraId="68A58244">
      <w:pPr>
        <w:jc w:val="both"/>
        <w:rPr>
          <w:rFonts w:ascii="Times New Roman" w:hAnsi="Times New Roman" w:cs="Times New Roman"/>
        </w:rPr>
      </w:pPr>
      <w:r>
        <w:rPr>
          <w:rFonts w:ascii="Times New Roman" w:hAnsi="Times New Roman" w:cs="Times New Roman"/>
        </w:rPr>
        <w:t xml:space="preserve">Punctele focale SRA și MCS au responsabilitatea de a se asigura că sunt păstrate evidențe detaliate ale plângerilor, inclusiv natura plângerii, acțiunile întreprinse și rezultatul.  Atât SRA, cât și MCS dispun de sisteme </w:t>
      </w:r>
      <w:sdt>
        <w:sdtPr>
          <w:rPr>
            <w:rFonts w:ascii="Times New Roman" w:hAnsi="Times New Roman" w:cs="Times New Roman"/>
          </w:rPr>
          <w:tag w:val="goog_rdk_63"/>
          <w:id w:val="-1222211116"/>
        </w:sdtPr>
        <w:sdtEndPr>
          <w:rPr>
            <w:rFonts w:ascii="Times New Roman" w:hAnsi="Times New Roman" w:cs="Times New Roman"/>
          </w:rPr>
        </w:sdtEndPr>
        <w:sdtContent/>
      </w:sdt>
      <w:sdt>
        <w:sdtPr>
          <w:rPr>
            <w:rFonts w:ascii="Times New Roman" w:hAnsi="Times New Roman" w:cs="Times New Roman"/>
          </w:rPr>
          <w:tag w:val="goog_rdk_64"/>
          <w:id w:val="-698164824"/>
        </w:sdtPr>
        <w:sdtEndPr>
          <w:rPr>
            <w:rFonts w:ascii="Times New Roman" w:hAnsi="Times New Roman" w:cs="Times New Roman"/>
          </w:rPr>
        </w:sdtEndPr>
        <w:sdtContent/>
      </w:sdt>
      <w:r>
        <w:rPr>
          <w:rFonts w:ascii="Times New Roman" w:hAnsi="Times New Roman" w:cs="Times New Roman"/>
        </w:rPr>
        <w:t>electronice similare de gestionare a documentelor care asigură, printre altele, următoarele funcții:</w:t>
      </w:r>
    </w:p>
    <w:p w14:paraId="30836A28">
      <w:pPr>
        <w:pStyle w:val="59"/>
        <w:spacing w:line="276" w:lineRule="auto"/>
        <w:jc w:val="both"/>
        <w:rPr>
          <w:rFonts w:ascii="Times New Roman" w:hAnsi="Times New Roman" w:cs="Times New Roman"/>
        </w:rPr>
      </w:pPr>
      <w:r>
        <w:t>• atribuirea unui număr unic de înregistrare fiecărui document pentru fiecare entitate;</w:t>
      </w:r>
    </w:p>
    <w:p w14:paraId="3C8C593F">
      <w:pPr>
        <w:pStyle w:val="59"/>
        <w:spacing w:line="276" w:lineRule="auto"/>
        <w:jc w:val="both"/>
        <w:rPr>
          <w:rFonts w:ascii="Times New Roman" w:hAnsi="Times New Roman" w:cs="Times New Roman"/>
        </w:rPr>
      </w:pPr>
      <w:r>
        <w:t>• stabilirea etapei în care se află fiecare document activ;</w:t>
      </w:r>
    </w:p>
    <w:p w14:paraId="6F48A21F">
      <w:pPr>
        <w:pStyle w:val="59"/>
        <w:spacing w:line="276" w:lineRule="auto"/>
        <w:jc w:val="both"/>
        <w:rPr>
          <w:rFonts w:ascii="Times New Roman" w:hAnsi="Times New Roman" w:cs="Times New Roman"/>
        </w:rPr>
      </w:pPr>
      <w:r>
        <w:t>• urmărirea ciclului de viață al fiecărui document.</w:t>
      </w:r>
    </w:p>
    <w:p w14:paraId="5080701A">
      <w:pPr>
        <w:spacing w:line="276" w:lineRule="auto"/>
        <w:jc w:val="both"/>
        <w:rPr>
          <w:rFonts w:ascii="Times New Roman" w:hAnsi="Times New Roman" w:cs="Times New Roman"/>
        </w:rPr>
      </w:pPr>
    </w:p>
    <w:p w14:paraId="6A598490">
      <w:pPr>
        <w:pStyle w:val="59"/>
        <w:spacing w:line="276" w:lineRule="auto"/>
        <w:jc w:val="both"/>
        <w:rPr>
          <w:rFonts w:ascii="Times New Roman" w:hAnsi="Times New Roman" w:cs="Times New Roman"/>
        </w:rPr>
      </w:pPr>
      <w:r>
        <w:t>Aceste sisteme permit circulația, stocarea și recuperarea documentelor în orice format electronic, inclusiv imagini ale documentelor pe suport de hârtie, dar și gestionarea și monitorizarea procesului de colectare a plângerilor și reclamațiilor, creându-se un sistem electronic de gestionare (gestionare) a documentelor.</w:t>
      </w:r>
    </w:p>
    <w:p w14:paraId="073F7077">
      <w:pPr>
        <w:spacing w:line="276" w:lineRule="auto"/>
        <w:jc w:val="both"/>
        <w:rPr>
          <w:rFonts w:ascii="Times New Roman" w:hAnsi="Times New Roman" w:cs="Times New Roman"/>
          <w:i/>
        </w:rPr>
      </w:pPr>
    </w:p>
    <w:p w14:paraId="27CA4B24">
      <w:pPr>
        <w:pStyle w:val="59"/>
        <w:spacing w:line="276" w:lineRule="auto"/>
        <w:jc w:val="both"/>
        <w:rPr>
          <w:rFonts w:ascii="Times New Roman" w:hAnsi="Times New Roman" w:cs="Times New Roman"/>
        </w:rPr>
      </w:pPr>
      <w:r>
        <w:t xml:space="preserve">Atât MCS, cât și SRA vor continua să își mențină sistemele individuale de înregistrare și gestionare a plângerilor. Cu toate acestea, SRA, în calitate de entitate </w:t>
      </w:r>
      <w:r>
        <w:rPr>
          <w:rFonts w:hint="default"/>
          <w:lang w:val="ro-RO"/>
        </w:rPr>
        <w:t>principală</w:t>
      </w:r>
      <w:r>
        <w:t>, va integra, de asemenea, toate nemulțumirile primite de MCS în propriul său sistem. Această integrare asigură un depozit centralizat de date privind reclamațiile, permițând monitorizarea, raportarea și urmărirea consecventă a rezoluției în cadrul proiectului.</w:t>
      </w:r>
    </w:p>
    <w:p w14:paraId="16B1699D">
      <w:pPr>
        <w:pStyle w:val="59"/>
        <w:spacing w:line="276" w:lineRule="auto"/>
        <w:jc w:val="both"/>
        <w:rPr>
          <w:rFonts w:ascii="Times New Roman" w:hAnsi="Times New Roman" w:cs="Times New Roman"/>
        </w:rPr>
      </w:pPr>
      <w:r>
        <w:t>Fluxul de lucru poate fi descris după cum urmează:</w:t>
      </w:r>
    </w:p>
    <w:p w14:paraId="2F2D7517">
      <w:pPr>
        <w:pStyle w:val="59"/>
        <w:spacing w:line="276" w:lineRule="auto"/>
        <w:jc w:val="both"/>
        <w:rPr>
          <w:rFonts w:ascii="Times New Roman" w:hAnsi="Times New Roman" w:cs="Times New Roman"/>
        </w:rPr>
      </w:pPr>
      <w:r>
        <w:t>1.</w:t>
      </w:r>
      <w:r>
        <w:tab/>
      </w:r>
      <w:r>
        <w:rPr>
          <w:rFonts w:hint="default"/>
          <w:lang w:val="ro-RO"/>
        </w:rPr>
        <w:t>MCS</w:t>
      </w:r>
      <w:r>
        <w:t xml:space="preserve"> înregistrează nemulțumirile din sistemul său, asigurându-se că acestea sunt documentate și gestionate în mod corespunzător la nivelul său.</w:t>
      </w:r>
    </w:p>
    <w:p w14:paraId="7DF1D103">
      <w:pPr>
        <w:pStyle w:val="59"/>
        <w:spacing w:line="276" w:lineRule="auto"/>
        <w:jc w:val="both"/>
        <w:rPr>
          <w:rFonts w:ascii="Times New Roman" w:hAnsi="Times New Roman" w:cs="Times New Roman"/>
        </w:rPr>
      </w:pPr>
      <w:r>
        <w:t>2.</w:t>
      </w:r>
      <w:r>
        <w:tab/>
      </w:r>
      <w:r>
        <w:t>Informațiile relevante privind reclamațiile sunt partajate cu SRA, care înregistrează și monitorizează aceste intrări în sistemul său, aliniindu-le la datele de la nivelul întregului proiect.</w:t>
      </w:r>
    </w:p>
    <w:p w14:paraId="40EC623E">
      <w:pPr>
        <w:pStyle w:val="59"/>
        <w:spacing w:line="276" w:lineRule="auto"/>
        <w:jc w:val="both"/>
        <w:rPr>
          <w:rFonts w:ascii="Times New Roman" w:hAnsi="Times New Roman" w:cs="Times New Roman"/>
        </w:rPr>
      </w:pPr>
      <w:r>
        <w:t>3.</w:t>
      </w:r>
      <w:r>
        <w:tab/>
      </w:r>
      <w:r>
        <w:t>SRA își folosește sistemul pentru a compila toate nemulțumirile, inclusiv cele din MCS, pentru supraveghere, analiză și raportare centralizată.</w:t>
      </w:r>
    </w:p>
    <w:p w14:paraId="4781ABA1">
      <w:pPr>
        <w:pStyle w:val="59"/>
        <w:spacing w:line="276" w:lineRule="auto"/>
        <w:jc w:val="both"/>
        <w:rPr>
          <w:rFonts w:ascii="Times New Roman" w:hAnsi="Times New Roman" w:cs="Times New Roman"/>
        </w:rPr>
      </w:pPr>
      <w:r>
        <w:t>Această abordare asigură faptul că ambele entități își mențin autonomia operațională, contribuind în același timp la un cadru unificat de soluționare a reclamațiilor pentru proiect.</w:t>
      </w:r>
    </w:p>
    <w:p w14:paraId="228F48BA">
      <w:pPr>
        <w:pStyle w:val="72"/>
        <w:numPr>
          <w:ilvl w:val="3"/>
          <w:numId w:val="0"/>
        </w:numPr>
        <w:pBdr>
          <w:top w:val="none" w:color="auto" w:sz="0" w:space="0"/>
          <w:left w:val="none" w:color="auto" w:sz="0" w:space="0"/>
          <w:bottom w:val="none" w:color="auto" w:sz="0" w:space="0"/>
          <w:right w:val="none" w:color="auto" w:sz="0" w:space="0"/>
          <w:between w:val="none" w:color="auto" w:sz="0" w:space="0"/>
        </w:pBdr>
        <w:spacing w:line="276" w:lineRule="auto"/>
        <w:ind w:left="2880" w:hanging="360"/>
        <w:jc w:val="both"/>
        <w:rPr>
          <w:rFonts w:ascii="Times New Roman" w:hAnsi="Times New Roman" w:cs="Times New Roman"/>
          <w:b/>
          <w:color w:val="000000"/>
        </w:rPr>
      </w:pPr>
      <w:r>
        <w:t>Etapa investigației</w:t>
      </w:r>
    </w:p>
    <w:p w14:paraId="24A3E63C">
      <w:pPr>
        <w:pStyle w:val="59"/>
        <w:spacing w:line="276" w:lineRule="auto"/>
        <w:jc w:val="both"/>
        <w:rPr>
          <w:rFonts w:ascii="Times New Roman" w:hAnsi="Times New Roman" w:cs="Times New Roman"/>
        </w:rPr>
      </w:pPr>
      <w:r>
        <w:t xml:space="preserve">În conformitate cu articolul 8 din Legea privind petițiile din Moldova, plângerile trebuie examinate și soluționate în termen de 30 de zile lucrătoare de la data înregistrării. În cazul în care plângerea nu necesită un studiu suplimentar, aceasta ar trebui abordată cu promptitudine, dar nu mai târziu de 15 zile lucrătoare de la data înregistrării. În cazul în care problemele ridicate nu pot fi soluționate în aceste termene, șeful instituției sau adjunctul acestuia poate prelungi perioada de examinare cu până la 30 de zile lucrătoare suplimentare, cu condiția ca reclamantul să fie informat cu privire la prelungire și la motivele acesteia. Cu toate acestea, perioada totală de soluționare a plângerii nu trebuie să depășească 60 de zile lucrătoare.   </w:t>
      </w:r>
    </w:p>
    <w:p w14:paraId="3EC45CA5">
      <w:pPr>
        <w:spacing w:line="276" w:lineRule="auto"/>
        <w:jc w:val="both"/>
        <w:rPr>
          <w:rFonts w:ascii="Times New Roman" w:hAnsi="Times New Roman" w:cs="Times New Roman"/>
        </w:rPr>
      </w:pPr>
    </w:p>
    <w:p w14:paraId="0E22FF69">
      <w:pPr>
        <w:pStyle w:val="59"/>
        <w:spacing w:line="276" w:lineRule="auto"/>
        <w:jc w:val="both"/>
        <w:rPr>
          <w:rFonts w:ascii="Times New Roman" w:hAnsi="Times New Roman" w:cs="Times New Roman"/>
        </w:rPr>
      </w:pPr>
      <w:r>
        <w:t>Punctul focal SRA și/sau MCS va facilita soluționarea plângerilor prin coordonarea cu departamentele sau persoanele relevante pentru a se asigura că un investigator desemnat este desemnat să investigheze și să soluționeze plângerile în conformitate cu termenele de mai sus.  Punctele focale ale GRM monitorizează chestiunile nesoluționate și recomandă măsuri de soluționare a acestora.    Procesul de investigare implică colectarea tuturor faptelor relevante pentru a dezvolta o înțelegere clară a circumstanțelor. Acest proces poate implica vizite la fața locului, revizuirea documentelor pertinente și consultarea persoanelor care pot contribui la rezolvarea problemei.</w:t>
      </w:r>
    </w:p>
    <w:p w14:paraId="6FAD0DF9">
      <w:pPr>
        <w:spacing w:line="276" w:lineRule="auto"/>
        <w:jc w:val="both"/>
        <w:rPr>
          <w:rFonts w:ascii="Times New Roman" w:hAnsi="Times New Roman" w:cs="Times New Roman"/>
        </w:rPr>
      </w:pPr>
    </w:p>
    <w:p w14:paraId="5CFDF773">
      <w:pPr>
        <w:spacing w:line="276" w:lineRule="auto"/>
        <w:jc w:val="both"/>
        <w:rPr>
          <w:rFonts w:ascii="Times New Roman" w:hAnsi="Times New Roman" w:cs="Times New Roman"/>
        </w:rPr>
      </w:pPr>
      <w:r>
        <w:rPr>
          <w:rFonts w:ascii="Times New Roman" w:hAnsi="Times New Roman" w:cs="Times New Roman"/>
        </w:rPr>
        <w:t xml:space="preserve">Constatările și răspunsul propus vor fi </w:t>
      </w:r>
      <w:sdt>
        <w:sdtPr>
          <w:rPr>
            <w:rFonts w:ascii="Times New Roman" w:hAnsi="Times New Roman" w:cs="Times New Roman"/>
          </w:rPr>
          <w:tag w:val="goog_rdk_65"/>
          <w:id w:val="977732503"/>
        </w:sdtPr>
        <w:sdtEndPr>
          <w:rPr>
            <w:rFonts w:ascii="Times New Roman" w:hAnsi="Times New Roman" w:cs="Times New Roman"/>
          </w:rPr>
        </w:sdtEndPr>
        <w:sdtContent/>
      </w:sdt>
      <w:r>
        <w:rPr>
          <w:rFonts w:ascii="Times New Roman" w:hAnsi="Times New Roman" w:cs="Times New Roman"/>
        </w:rPr>
        <w:t xml:space="preserve">prezentate de către investigator </w:t>
      </w:r>
      <w:sdt>
        <w:sdtPr>
          <w:rPr>
            <w:rFonts w:ascii="Times New Roman" w:hAnsi="Times New Roman" w:cs="Times New Roman"/>
          </w:rPr>
          <w:tag w:val="goog_rdk_66"/>
          <w:id w:val="-1874445042"/>
        </w:sdtPr>
        <w:sdtEndPr>
          <w:rPr>
            <w:rFonts w:ascii="Times New Roman" w:hAnsi="Times New Roman" w:cs="Times New Roman"/>
          </w:rPr>
        </w:sdtEndPr>
        <w:sdtContent>
          <w:sdt>
            <w:sdtPr>
              <w:rPr>
                <w:rFonts w:ascii="Times New Roman" w:hAnsi="Times New Roman" w:cs="Times New Roman"/>
              </w:rPr>
              <w:tag w:val="goog_rdk_67"/>
              <w:id w:val="1597981453"/>
            </w:sdtPr>
            <w:sdtEndPr>
              <w:rPr>
                <w:rFonts w:ascii="Times New Roman" w:hAnsi="Times New Roman" w:cs="Times New Roman"/>
              </w:rPr>
            </w:sdtEndPr>
            <w:sdtContent/>
          </w:sdt>
          <w:r>
            <w:t xml:space="preserve">punctului focal GRM al </w:t>
          </w:r>
          <w:r>
            <w:rPr>
              <w:rFonts w:hint="default"/>
              <w:lang w:val="ro-RO"/>
            </w:rPr>
            <w:t>SRA</w:t>
          </w:r>
          <w:r>
            <w:t xml:space="preserve"> și directorului UIP pentru</w:t>
          </w:r>
        </w:sdtContent>
      </w:sdt>
      <w:sdt>
        <w:sdtPr>
          <w:rPr>
            <w:rFonts w:ascii="Times New Roman" w:hAnsi="Times New Roman" w:cs="Times New Roman"/>
          </w:rPr>
          <w:tag w:val="goog_rdk_68"/>
          <w:id w:val="-1814321359"/>
        </w:sdtPr>
        <w:sdtEndPr>
          <w:rPr>
            <w:rFonts w:ascii="Times New Roman" w:hAnsi="Times New Roman" w:cs="Times New Roman"/>
          </w:rPr>
        </w:sdtEndPr>
        <w:sdtContent>
          <w:r>
            <w:rPr>
              <w:rFonts w:ascii="Times New Roman" w:hAnsi="Times New Roman" w:cs="Times New Roman"/>
            </w:rPr>
            <w:t xml:space="preserve"> </w:t>
          </w:r>
        </w:sdtContent>
      </w:sdt>
      <w:r>
        <w:rPr>
          <w:rFonts w:ascii="Times New Roman" w:hAnsi="Times New Roman" w:cs="Times New Roman"/>
        </w:rPr>
        <w:t xml:space="preserve">examinare. Coordonatorul </w:t>
      </w:r>
      <w:sdt>
        <w:sdtPr>
          <w:rPr>
            <w:rFonts w:ascii="Times New Roman" w:hAnsi="Times New Roman" w:cs="Times New Roman"/>
          </w:rPr>
          <w:tag w:val="goog_rdk_69"/>
          <w:id w:val="437414605"/>
        </w:sdtPr>
        <w:sdtEndPr>
          <w:rPr>
            <w:rFonts w:ascii="Times New Roman" w:hAnsi="Times New Roman" w:cs="Times New Roman"/>
          </w:rPr>
        </w:sdtEndPr>
        <w:sdtContent/>
      </w:sdt>
      <w:r>
        <w:rPr>
          <w:rFonts w:ascii="Times New Roman" w:hAnsi="Times New Roman" w:cs="Times New Roman"/>
        </w:rPr>
        <w:t>de proiect (</w:t>
      </w:r>
      <w:r>
        <w:rPr>
          <w:rFonts w:hint="default" w:ascii="Times New Roman" w:hAnsi="Times New Roman" w:cs="Times New Roman"/>
          <w:lang w:val="ro-RO"/>
        </w:rPr>
        <w:t>managerul</w:t>
      </w:r>
      <w:r>
        <w:rPr>
          <w:rFonts w:ascii="Times New Roman" w:hAnsi="Times New Roman" w:cs="Times New Roman"/>
        </w:rPr>
        <w:t xml:space="preserve"> UIP) va recomanda apoi acțiuni suplimentare. Odată ce se ia o decizie și reclamantul este informat, investigatorul va documenta acțiunile care trebuie întreprinse, împreună cu detaliile investigației și constatările, în formularul de plângere.</w:t>
      </w:r>
    </w:p>
    <w:p w14:paraId="160AE97F">
      <w:pPr>
        <w:spacing w:line="276" w:lineRule="auto"/>
        <w:rPr>
          <w:rFonts w:ascii="Times New Roman" w:hAnsi="Times New Roman" w:cs="Times New Roman"/>
        </w:rPr>
      </w:pPr>
    </w:p>
    <w:p w14:paraId="3BAC6422">
      <w:pPr>
        <w:spacing w:line="276" w:lineRule="auto"/>
        <w:jc w:val="center"/>
        <w:rPr>
          <w:rFonts w:ascii="Times New Roman" w:hAnsi="Times New Roman" w:cs="Times New Roman"/>
        </w:rPr>
      </w:pPr>
    </w:p>
    <w:p w14:paraId="5F8A52A1">
      <w:pPr>
        <w:pStyle w:val="68"/>
        <w:numPr>
          <w:ilvl w:val="0"/>
          <w:numId w:val="5"/>
        </w:numPr>
        <w:pBdr>
          <w:top w:val="none" w:color="auto" w:sz="0" w:space="0"/>
          <w:left w:val="none" w:color="auto" w:sz="0" w:space="0"/>
          <w:bottom w:val="none" w:color="auto" w:sz="0" w:space="0"/>
          <w:right w:val="none" w:color="auto" w:sz="0" w:space="0"/>
          <w:between w:val="none" w:color="auto" w:sz="0" w:space="0"/>
        </w:pBdr>
        <w:spacing w:after="0" w:line="276" w:lineRule="auto"/>
        <w:jc w:val="center"/>
        <w:rPr>
          <w:rFonts w:ascii="Times New Roman" w:hAnsi="Times New Roman" w:cs="Times New Roman"/>
          <w:b/>
          <w:color w:val="000000"/>
        </w:rPr>
      </w:pPr>
      <w:r>
        <w:t>Etapa rezoluției</w:t>
      </w:r>
    </w:p>
    <w:p w14:paraId="5890C201">
      <w:pPr>
        <w:pStyle w:val="59"/>
        <w:spacing w:line="276" w:lineRule="auto"/>
        <w:jc w:val="both"/>
        <w:rPr>
          <w:rFonts w:ascii="Times New Roman" w:hAnsi="Times New Roman" w:cs="Times New Roman"/>
        </w:rPr>
      </w:pPr>
      <w:r>
        <w:br w:type="textWrapping"/>
      </w:r>
      <w:r>
        <w:t>UIP vor contacta reclamantul în termen de 15 zile calendaristice cu o propunere de rezoluție. În cazul în care ancheta stabilește că plângerea nu se referă la activitățile proiectului sau că proiectul respectă standardele naționale și internaționale relevante, UIP vor explica acest lucru în scris reclamantului, furnizând motivele care stau la baza deciziei.</w:t>
      </w:r>
    </w:p>
    <w:p w14:paraId="446F8032">
      <w:pPr>
        <w:spacing w:line="276" w:lineRule="auto"/>
        <w:jc w:val="both"/>
        <w:rPr>
          <w:rFonts w:ascii="Times New Roman" w:hAnsi="Times New Roman" w:cs="Times New Roman"/>
        </w:rPr>
      </w:pPr>
    </w:p>
    <w:p w14:paraId="0495E438">
      <w:pPr>
        <w:pStyle w:val="59"/>
        <w:spacing w:line="276" w:lineRule="auto"/>
        <w:jc w:val="both"/>
        <w:rPr>
          <w:rFonts w:ascii="Times New Roman" w:hAnsi="Times New Roman" w:cs="Times New Roman"/>
        </w:rPr>
      </w:pPr>
      <w:r>
        <w:t>Dacă este necesar, termenul de investigare a plângerii poate fi prelungit cu încă 30 de zile lucrătoare, astfel cum a fost aprobat de conducerea UIP. Reclamantul va fi informat cu promptitudine cu privire la această prelungire, împreună cu motivele care pot include următoarele:</w:t>
      </w:r>
    </w:p>
    <w:p w14:paraId="0560FAF5">
      <w:pPr>
        <w:spacing w:line="276" w:lineRule="auto"/>
        <w:jc w:val="both"/>
        <w:rPr>
          <w:rFonts w:ascii="Times New Roman" w:hAnsi="Times New Roman" w:cs="Times New Roman"/>
        </w:rPr>
      </w:pPr>
    </w:p>
    <w:p w14:paraId="74884ED6">
      <w:pPr>
        <w:pStyle w:val="61"/>
        <w:numPr>
          <w:ilvl w:val="0"/>
          <w:numId w:val="6"/>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t>Sunt necesare consultări suplimentare pentru a oferi un răspuns cuprinzător la plângere.</w:t>
      </w:r>
    </w:p>
    <w:p w14:paraId="2C454CAC">
      <w:pPr>
        <w:pStyle w:val="61"/>
        <w:numPr>
          <w:ilvl w:val="0"/>
          <w:numId w:val="6"/>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t>Plângerea implică un volum semnificativ de informații complexe, necesitând revizuirea unor materiale suplimentare pentru a formula un răspuns adecvat.</w:t>
      </w:r>
    </w:p>
    <w:p w14:paraId="799B2FBB">
      <w:pPr>
        <w:pBdr>
          <w:top w:val="none" w:color="auto" w:sz="0" w:space="0"/>
          <w:left w:val="none" w:color="auto" w:sz="0" w:space="0"/>
          <w:bottom w:val="none" w:color="auto" w:sz="0" w:space="0"/>
          <w:right w:val="none" w:color="auto" w:sz="0" w:space="0"/>
          <w:between w:val="none" w:color="auto" w:sz="0" w:space="0"/>
        </w:pBdr>
        <w:spacing w:line="276" w:lineRule="auto"/>
        <w:ind w:left="720"/>
        <w:rPr>
          <w:rFonts w:ascii="Times New Roman" w:hAnsi="Times New Roman" w:cs="Times New Roman"/>
        </w:rPr>
      </w:pPr>
    </w:p>
    <w:p w14:paraId="5183238D">
      <w:pPr>
        <w:pStyle w:val="61"/>
        <w:numPr>
          <w:ilvl w:val="3"/>
          <w:numId w:val="0"/>
        </w:numPr>
        <w:pBdr>
          <w:top w:val="none" w:color="auto" w:sz="0" w:space="0"/>
          <w:left w:val="none" w:color="auto" w:sz="0" w:space="0"/>
          <w:bottom w:val="none" w:color="auto" w:sz="0" w:space="0"/>
          <w:right w:val="none" w:color="auto" w:sz="0" w:space="0"/>
          <w:between w:val="none" w:color="auto" w:sz="0" w:space="0"/>
        </w:pBdr>
        <w:tabs>
          <w:tab w:val="left" w:pos="2790"/>
        </w:tabs>
        <w:spacing w:line="276" w:lineRule="auto"/>
        <w:ind w:left="2880" w:hanging="360"/>
        <w:rPr>
          <w:rFonts w:ascii="Times New Roman" w:hAnsi="Times New Roman" w:cs="Times New Roman"/>
          <w:color w:val="000000"/>
        </w:rPr>
      </w:pPr>
      <w:r>
        <w:rPr>
          <w:b/>
        </w:rPr>
        <w:t>Etapa de monitorizare</w:t>
      </w:r>
      <w:r>
        <w:br w:type="textWrapping"/>
      </w:r>
    </w:p>
    <w:p w14:paraId="2EF7B390">
      <w:pPr>
        <w:tabs>
          <w:tab w:val="left" w:pos="2790"/>
        </w:tabs>
        <w:spacing w:line="276" w:lineRule="auto"/>
        <w:jc w:val="both"/>
        <w:rPr>
          <w:rFonts w:ascii="Times New Roman" w:hAnsi="Times New Roman" w:cs="Times New Roman"/>
        </w:rPr>
      </w:pPr>
      <w:r>
        <w:rPr>
          <w:rFonts w:ascii="Times New Roman" w:hAnsi="Times New Roman" w:cs="Times New Roman"/>
        </w:rPr>
        <w:t>Punctele focale GRM urmăresc progresele înregistrate și monitorizează punerea în aplicare a rezoluțiilor convenite pentru a asigura eficacitatea acestora.</w:t>
      </w:r>
      <w:sdt>
        <w:sdtPr>
          <w:rPr>
            <w:rFonts w:ascii="Times New Roman" w:hAnsi="Times New Roman" w:cs="Times New Roman"/>
          </w:rPr>
          <w:tag w:val="goog_rdk_70"/>
          <w:id w:val="-351424701"/>
        </w:sdtPr>
        <w:sdtEndPr>
          <w:rPr>
            <w:rFonts w:ascii="Times New Roman" w:hAnsi="Times New Roman" w:cs="Times New Roman"/>
          </w:rPr>
        </w:sdtEndPr>
        <w:sdtContent/>
      </w:sdt>
      <w:r>
        <w:rPr>
          <w:rFonts w:ascii="Times New Roman" w:hAnsi="Times New Roman" w:cs="Times New Roman"/>
        </w:rPr>
        <w:t xml:space="preserve">   După soluționarea plângerii, punctele focale GRM pot contacta reclamantul într-o etapă ulterioară pentru a se asigura că problema a fost abordată în mod adecvat și că nu au apărut alte probleme în urma activităților proiectului. Această monitorizare contribuie la asigurarea faptului că activitățile proiectului nu generează preocupări permanente pentru părțile afectate.</w:t>
      </w:r>
    </w:p>
    <w:p w14:paraId="6FB05EE5">
      <w:pPr>
        <w:spacing w:line="276" w:lineRule="auto"/>
        <w:jc w:val="both"/>
        <w:rPr>
          <w:rFonts w:ascii="Times New Roman" w:hAnsi="Times New Roman" w:cs="Times New Roman"/>
        </w:rPr>
      </w:pPr>
    </w:p>
    <w:p w14:paraId="5C357140">
      <w:pPr>
        <w:spacing w:line="276" w:lineRule="auto"/>
        <w:jc w:val="both"/>
        <w:rPr>
          <w:rFonts w:ascii="Times New Roman" w:hAnsi="Times New Roman" w:cs="Times New Roman"/>
          <w:b/>
        </w:rPr>
      </w:pPr>
      <w:r>
        <w:rPr>
          <w:rFonts w:ascii="Times New Roman" w:hAnsi="Times New Roman" w:cs="Times New Roman"/>
          <w:b/>
        </w:rPr>
        <w:t>Procesul de recurs, inclusiv sistemul judiciar de la nivel național</w:t>
      </w:r>
      <w:sdt>
        <w:sdtPr>
          <w:rPr>
            <w:rFonts w:ascii="Times New Roman" w:hAnsi="Times New Roman" w:cs="Times New Roman"/>
          </w:rPr>
          <w:tag w:val="goog_rdk_71"/>
          <w:id w:val="-15000878"/>
        </w:sdtPr>
        <w:sdtEndPr>
          <w:rPr>
            <w:rFonts w:ascii="Times New Roman" w:hAnsi="Times New Roman" w:cs="Times New Roman"/>
          </w:rPr>
        </w:sdtEndPr>
        <w:sdtContent/>
      </w:sdt>
      <w:r>
        <w:rPr>
          <w:rFonts w:ascii="Times New Roman" w:hAnsi="Times New Roman" w:cs="Times New Roman"/>
          <w:b/>
        </w:rPr>
        <w:t xml:space="preserve"> </w:t>
      </w:r>
    </w:p>
    <w:p w14:paraId="09467A0C">
      <w:pPr>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p>
    <w:sdt>
      <w:sdtPr>
        <w:rPr>
          <w:rFonts w:ascii="Times New Roman" w:hAnsi="Times New Roman" w:cs="Times New Roman"/>
        </w:rPr>
        <w:tag w:val="goog_rdk_74"/>
        <w:id w:val="1349214350"/>
      </w:sdtPr>
      <w:sdtEndPr>
        <w:rPr>
          <w:rFonts w:ascii="Times New Roman" w:hAnsi="Times New Roman" w:cs="Times New Roman"/>
        </w:rPr>
      </w:sdtEndPr>
      <w:sdtContent>
        <w:p w14:paraId="6C9331D6">
          <w:pPr>
            <w:spacing w:line="276" w:lineRule="auto"/>
            <w:jc w:val="both"/>
            <w:rPr>
              <w:rFonts w:ascii="Times New Roman" w:hAnsi="Times New Roman" w:cs="Times New Roman"/>
            </w:rPr>
          </w:pPr>
          <w:r>
            <w:rPr>
              <w:rFonts w:ascii="Times New Roman" w:hAnsi="Times New Roman" w:cs="Times New Roman"/>
            </w:rPr>
            <w:t xml:space="preserve">GRM nu înlocuiește și nici nu ar trebui să împiedice căile de atac judiciare și administrative, cum ar fi medierea sau arbitrajul, care pot fi necesare pentru litigiile care nu intră în domeniul de aplicare al GRM. O funcție-cheie a GRM este de a aborda în mod proactiv preocupările înainte ca acestea să escaladeze la nivelul care necesită proceduri judiciare sau administrative. Părțile interesate își vor păstra dreptul de </w:t>
          </w:r>
          <w:sdt>
            <w:sdtPr>
              <w:rPr>
                <w:rFonts w:ascii="Times New Roman" w:hAnsi="Times New Roman" w:cs="Times New Roman"/>
              </w:rPr>
              <w:tag w:val="goog_rdk_72"/>
              <w:id w:val="25219784"/>
            </w:sdtPr>
            <w:sdtEndPr>
              <w:rPr>
                <w:rFonts w:ascii="Times New Roman" w:hAnsi="Times New Roman" w:cs="Times New Roman"/>
              </w:rPr>
            </w:sdtEndPr>
            <w:sdtContent/>
          </w:sdt>
          <w:r>
            <w:rPr>
              <w:rFonts w:ascii="Times New Roman" w:hAnsi="Times New Roman" w:cs="Times New Roman"/>
            </w:rPr>
            <w:t>a se adresa instanțelor în cazul în care sunt nemulțumite de rezultatul anchetei privind reclamațiile.</w:t>
          </w:r>
          <w:sdt>
            <w:sdtPr>
              <w:rPr>
                <w:rFonts w:ascii="Times New Roman" w:hAnsi="Times New Roman" w:cs="Times New Roman"/>
              </w:rPr>
              <w:tag w:val="goog_rdk_73"/>
              <w:id w:val="-2098161499"/>
            </w:sdtPr>
            <w:sdtEndPr>
              <w:rPr>
                <w:rFonts w:ascii="Times New Roman" w:hAnsi="Times New Roman" w:cs="Times New Roman"/>
              </w:rPr>
            </w:sdtEndPr>
            <w:sdtContent/>
          </w:sdt>
        </w:p>
      </w:sdtContent>
    </w:sdt>
    <w:sdt>
      <w:sdtPr>
        <w:rPr>
          <w:rFonts w:ascii="Times New Roman" w:hAnsi="Times New Roman" w:cs="Times New Roman"/>
        </w:rPr>
        <w:tag w:val="goog_rdk_78"/>
        <w:id w:val="438118155"/>
      </w:sdtPr>
      <w:sdtEndPr>
        <w:rPr>
          <w:rFonts w:ascii="Times New Roman" w:hAnsi="Times New Roman" w:cs="Times New Roman"/>
        </w:rPr>
      </w:sdtEndPr>
      <w:sdtContent>
        <w:p w14:paraId="65EBBF2C">
          <w:pPr>
            <w:pStyle w:val="59"/>
            <w:spacing w:line="276" w:lineRule="auto"/>
            <w:jc w:val="both"/>
            <w:rPr>
              <w:rFonts w:ascii="Times New Roman" w:hAnsi="Times New Roman" w:cs="Times New Roman"/>
            </w:rPr>
          </w:pPr>
          <w:sdt>
            <w:sdtPr>
              <w:rPr>
                <w:rFonts w:ascii="Times New Roman" w:hAnsi="Times New Roman" w:cs="Times New Roman"/>
              </w:rPr>
              <w:tag w:val="goog_rdk_77"/>
              <w:id w:val="-2037807762"/>
            </w:sdtPr>
            <w:sdtEndPr>
              <w:rPr>
                <w:rFonts w:ascii="Times New Roman" w:hAnsi="Times New Roman" w:cs="Times New Roman"/>
              </w:rPr>
            </w:sdtEndPr>
            <w:sdtContent>
              <w:r>
                <w:t>În cazul în care un reclamant este nemulțumit de decizia luată la nivel intern sau administrativ, acesta are dreptul de a escalada chestiunea prin intermediul sistemului judiciar național:</w:t>
              </w:r>
            </w:sdtContent>
          </w:sdt>
        </w:p>
      </w:sdtContent>
    </w:sdt>
    <w:sdt>
      <w:sdtPr>
        <w:rPr>
          <w:rFonts w:ascii="Times New Roman" w:hAnsi="Times New Roman" w:cs="Times New Roman"/>
        </w:rPr>
        <w:tag w:val="goog_rdk_80"/>
        <w:id w:val="1485274138"/>
      </w:sdtPr>
      <w:sdtEndPr>
        <w:rPr>
          <w:rFonts w:ascii="Times New Roman" w:hAnsi="Times New Roman" w:cs="Times New Roman"/>
        </w:rPr>
      </w:sdtEndPr>
      <w:sdtContent>
        <w:p w14:paraId="2011F27F">
          <w:pPr>
            <w:pStyle w:val="59"/>
            <w:spacing w:line="276" w:lineRule="auto"/>
            <w:jc w:val="both"/>
            <w:rPr>
              <w:rFonts w:ascii="Times New Roman" w:hAnsi="Times New Roman" w:cs="Times New Roman"/>
            </w:rPr>
          </w:pPr>
          <w:sdt>
            <w:sdtPr>
              <w:rPr>
                <w:rFonts w:ascii="Times New Roman" w:hAnsi="Times New Roman" w:cs="Times New Roman"/>
              </w:rPr>
              <w:tag w:val="goog_rdk_79"/>
              <w:id w:val="537016979"/>
            </w:sdtPr>
            <w:sdtEndPr>
              <w:rPr>
                <w:rFonts w:ascii="Times New Roman" w:hAnsi="Times New Roman" w:cs="Times New Roman"/>
              </w:rPr>
            </w:sdtEndPr>
            <w:sdtContent>
              <w:r>
                <w:t>A. Nivelul instanțelor administrative (Judecatoriile). Reclamantul poate depune o cerere administrativă la instanța administrativă în cazul în care plângerea implică decizii sau acțiuni ale autorităților publice, inclusiv ale organismelor de reglementare, ale agențiilor guvernamentale sau ale ministerelor. În Republica Moldova, o cerere administrativă trebuie, în general, să fie depusă în termen de 30 de zile de la data la care reclamantul a fost informat cu privire la decizia sau acțiunea contestată. Tribunalul Administrativ va examina plângerea, actul administrativ (decizia) și procedurile urmate. În cazul în care instanța constată că autoritatea publică a acționat în mod ilegal sau necorespunzător, aceasta poate anula decizia sau poate dispune măsuri corective.</w:t>
              </w:r>
            </w:sdtContent>
          </w:sdt>
        </w:p>
      </w:sdtContent>
    </w:sdt>
    <w:sdt>
      <w:sdtPr>
        <w:rPr>
          <w:rFonts w:ascii="Times New Roman" w:hAnsi="Times New Roman" w:cs="Times New Roman"/>
        </w:rPr>
        <w:tag w:val="goog_rdk_82"/>
        <w:id w:val="1137535183"/>
      </w:sdtPr>
      <w:sdtEndPr>
        <w:rPr>
          <w:rFonts w:ascii="Times New Roman" w:hAnsi="Times New Roman" w:cs="Times New Roman"/>
        </w:rPr>
      </w:sdtEndPr>
      <w:sdtContent>
        <w:p w14:paraId="6B90C11C">
          <w:pPr>
            <w:pStyle w:val="59"/>
            <w:spacing w:line="276" w:lineRule="auto"/>
            <w:jc w:val="both"/>
            <w:rPr>
              <w:rFonts w:ascii="Times New Roman" w:hAnsi="Times New Roman" w:cs="Times New Roman"/>
            </w:rPr>
          </w:pPr>
          <w:sdt>
            <w:sdtPr>
              <w:rPr>
                <w:rFonts w:ascii="Times New Roman" w:hAnsi="Times New Roman" w:cs="Times New Roman"/>
              </w:rPr>
              <w:tag w:val="goog_rdk_81"/>
              <w:id w:val="1032688321"/>
            </w:sdtPr>
            <w:sdtEndPr>
              <w:rPr>
                <w:rFonts w:ascii="Times New Roman" w:hAnsi="Times New Roman" w:cs="Times New Roman"/>
              </w:rPr>
            </w:sdtEndPr>
            <w:sdtContent>
              <w:r>
                <w:t>B. Curtea de Apel. În cazul în care reclamantul nu este mulțumit de decizia instanței administrative, acesta poate introduce o cale de atac la Curtea de Apel în termen de 15 zile de la hotărârea instanței. Curtea de Apel examinează faptele și temeiurile juridice ale cauzei, asigurându-se că decizia luată de Tribunalul Administrativ a fost în conformitate cu legea.</w:t>
              </w:r>
            </w:sdtContent>
          </w:sdt>
        </w:p>
      </w:sdtContent>
    </w:sdt>
    <w:sdt>
      <w:sdtPr>
        <w:rPr>
          <w:rFonts w:ascii="Times New Roman" w:hAnsi="Times New Roman" w:cs="Times New Roman"/>
        </w:rPr>
        <w:tag w:val="goog_rdk_84"/>
        <w:id w:val="-1784108889"/>
      </w:sdtPr>
      <w:sdtEndPr>
        <w:rPr>
          <w:rFonts w:ascii="Times New Roman" w:hAnsi="Times New Roman" w:cs="Times New Roman"/>
        </w:rPr>
      </w:sdtEndPr>
      <w:sdtContent>
        <w:p w14:paraId="2B4D3A3F">
          <w:pPr>
            <w:pStyle w:val="59"/>
            <w:spacing w:line="276" w:lineRule="auto"/>
            <w:jc w:val="both"/>
            <w:rPr>
              <w:rFonts w:ascii="Times New Roman" w:hAnsi="Times New Roman" w:cs="Times New Roman"/>
            </w:rPr>
          </w:pPr>
          <w:sdt>
            <w:sdtPr>
              <w:rPr>
                <w:rFonts w:ascii="Times New Roman" w:hAnsi="Times New Roman" w:cs="Times New Roman"/>
              </w:rPr>
              <w:tag w:val="goog_rdk_83"/>
              <w:id w:val="911747217"/>
            </w:sdtPr>
            <w:sdtEndPr>
              <w:rPr>
                <w:rFonts w:ascii="Times New Roman" w:hAnsi="Times New Roman" w:cs="Times New Roman"/>
              </w:rPr>
            </w:sdtEndPr>
            <w:sdtContent>
              <w:r>
                <w:t>Curtea de Apel poate: Susține decizia instanței inferioare. să anuleze sau să modifice decizia pe baza unor noi argumente juridice sau fapte prezentate.</w:t>
              </w:r>
            </w:sdtContent>
          </w:sdt>
        </w:p>
      </w:sdtContent>
    </w:sdt>
    <w:sdt>
      <w:sdtPr>
        <w:rPr>
          <w:rFonts w:ascii="Times New Roman" w:hAnsi="Times New Roman" w:cs="Times New Roman"/>
        </w:rPr>
        <w:tag w:val="goog_rdk_86"/>
        <w:id w:val="-1503886893"/>
      </w:sdtPr>
      <w:sdtEndPr>
        <w:rPr>
          <w:rFonts w:ascii="Times New Roman" w:hAnsi="Times New Roman" w:cs="Times New Roman"/>
        </w:rPr>
      </w:sdtEndPr>
      <w:sdtContent>
        <w:p w14:paraId="4CC04C17">
          <w:pPr>
            <w:pStyle w:val="59"/>
            <w:spacing w:line="276" w:lineRule="auto"/>
            <w:jc w:val="both"/>
            <w:rPr>
              <w:rFonts w:ascii="Times New Roman" w:hAnsi="Times New Roman" w:cs="Times New Roman"/>
            </w:rPr>
          </w:pPr>
          <w:sdt>
            <w:sdtPr>
              <w:rPr>
                <w:rFonts w:ascii="Times New Roman" w:hAnsi="Times New Roman" w:cs="Times New Roman"/>
              </w:rPr>
              <w:tag w:val="goog_rdk_85"/>
              <w:id w:val="-2144186380"/>
            </w:sdtPr>
            <w:sdtEndPr>
              <w:rPr>
                <w:rFonts w:ascii="Times New Roman" w:hAnsi="Times New Roman" w:cs="Times New Roman"/>
              </w:rPr>
            </w:sdtEndPr>
            <w:sdtContent>
              <w:r>
                <w:t>C. Curtea Supremă de Justiție (apel final) În cazul în care reclamantul este încă nemulțumit după hotărârea Curții de Apel, acesta poate introduce o cale de atac la Curtea Supremă de Justiție. Curtea Supremă examinează în primul rând cauzele cu privire la chestiuni de drept, asigurându-se că interpretarea legilor este consecventă la nivelul instanțelor inferioare. De regulă, aceasta nu reexaminează aspecte factuale. Decizia Curții Supreme de Justiție este definitivă și obligatorie și reprezintă ultimul nivel de apel judiciar în Moldova.</w:t>
              </w:r>
            </w:sdtContent>
          </w:sdt>
        </w:p>
      </w:sdtContent>
    </w:sdt>
    <w:sdt>
      <w:sdtPr>
        <w:rPr>
          <w:rFonts w:ascii="Times New Roman" w:hAnsi="Times New Roman" w:cs="Times New Roman"/>
        </w:rPr>
        <w:tag w:val="goog_rdk_88"/>
        <w:id w:val="-1950700109"/>
      </w:sdtPr>
      <w:sdtEndPr>
        <w:rPr>
          <w:rFonts w:ascii="Times New Roman" w:hAnsi="Times New Roman" w:cs="Times New Roman"/>
        </w:rPr>
      </w:sdtEndPr>
      <w:sdtContent>
        <w:p w14:paraId="0833F9F5">
          <w:pPr>
            <w:pStyle w:val="59"/>
            <w:spacing w:line="276" w:lineRule="auto"/>
            <w:ind w:firstLine="720"/>
            <w:jc w:val="both"/>
            <w:rPr>
              <w:rFonts w:ascii="Times New Roman" w:hAnsi="Times New Roman" w:cs="Times New Roman"/>
            </w:rPr>
          </w:pPr>
          <w:sdt>
            <w:sdtPr>
              <w:rPr>
                <w:rFonts w:ascii="Times New Roman" w:hAnsi="Times New Roman" w:cs="Times New Roman"/>
              </w:rPr>
              <w:tag w:val="goog_rdk_87"/>
              <w:id w:val="-795223673"/>
            </w:sdtPr>
            <w:sdtEndPr>
              <w:rPr>
                <w:rFonts w:ascii="Times New Roman" w:hAnsi="Times New Roman" w:cs="Times New Roman"/>
              </w:rPr>
            </w:sdtEndPr>
            <w:sdtContent>
              <w:r>
                <w:t xml:space="preserve"> În cazul în care problema se referă la potențiale încălcări ale drepturilor omului sau la o administrație publică deficitară, reclamantul poate, de asemenea, să se adreseze Avocatului Poporului din Moldova. Ombudsmanul poate investiga plângerile împotriva autorităților publice, asigurându-se că drepturile cetățenilor sunt respectate și că aceștia beneficiază de un tratament echitabil.</w:t>
              </w:r>
            </w:sdtContent>
          </w:sdt>
        </w:p>
      </w:sdtContent>
    </w:sdt>
    <w:sdt>
      <w:sdtPr>
        <w:rPr>
          <w:rFonts w:ascii="Times New Roman" w:hAnsi="Times New Roman" w:cs="Times New Roman"/>
        </w:rPr>
        <w:tag w:val="goog_rdk_90"/>
        <w:id w:val="6021280"/>
      </w:sdtPr>
      <w:sdtEndPr>
        <w:rPr>
          <w:rFonts w:ascii="Times New Roman" w:hAnsi="Times New Roman" w:cs="Times New Roman"/>
        </w:rPr>
      </w:sdtEndPr>
      <w:sdtContent>
        <w:p w14:paraId="4D08D92F">
          <w:pPr>
            <w:pStyle w:val="59"/>
            <w:spacing w:line="276" w:lineRule="auto"/>
            <w:jc w:val="both"/>
            <w:rPr>
              <w:rFonts w:ascii="Times New Roman" w:hAnsi="Times New Roman" w:cs="Times New Roman"/>
            </w:rPr>
          </w:pPr>
          <w:sdt>
            <w:sdtPr>
              <w:rPr>
                <w:rFonts w:ascii="Times New Roman" w:hAnsi="Times New Roman" w:cs="Times New Roman"/>
              </w:rPr>
              <w:tag w:val="goog_rdk_89"/>
              <w:id w:val="268745410"/>
            </w:sdtPr>
            <w:sdtEndPr>
              <w:rPr>
                <w:rFonts w:ascii="Times New Roman" w:hAnsi="Times New Roman" w:cs="Times New Roman"/>
              </w:rPr>
            </w:sdtEndPr>
            <w:sdtContent>
              <w:r>
                <w:t>În Moldova, procedura căilor de atac judiciare oferă reclamanților o cale structurată de a contesta deciziile și de a soluționa plângerile într-un mod echitabil și transparent. În cazul în care mecanismele interne de soluționare eșuează, reclamanții pot introduce o cale de atac prin intermediul Curții Administrative, fiind posibile și alte căi de atac prin intermediul Curții de Apel și al Curții Supreme de Justiție. În unele cazuri, soluționarea alternativă a litigiilor și Ombudsmanul pot oferi opțiuni mai rapide și mai puțin formale. Acest proces în mai multe etape asigură accesul la justiție și responsabilitatea tuturor părților implicate.</w:t>
              </w:r>
            </w:sdtContent>
          </w:sdt>
        </w:p>
      </w:sdtContent>
    </w:sdt>
    <w:p w14:paraId="537414A2">
      <w:pPr>
        <w:pStyle w:val="61"/>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t>În conformitate cu Regulamentul privind funcționarea liniilor telefonice anticorupție aprobat prin Legea nr. 252/2013, Legea nr. 325/2013 privind evaluarea integrității instituționale, Legea integrității nr. 82 din 25.5.2017 ASD/MCS a implementat o linie telefonică de urgență anticorupție, care facilitează colectarea de informații privind posibile acte de corupție, dar și alte tipuri de plângeri și plângeri. Această linie este un instrument suplimentar pentru cetățeni și angajați, asigurând confidențialitatea și încurajând raportarea oricăror nereguli legate de punerea în aplicare a proiectelor rutiere.</w:t>
      </w:r>
    </w:p>
    <w:p w14:paraId="27485FF9">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p>
    <w:p w14:paraId="1E96941F">
      <w:pPr>
        <w:pStyle w:val="61"/>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t>Toate apelurile primite sunt înregistrate în Registrul de apeluri la linia specială anticorupție. Numărul de înregistrare a informațiilor este atribuit și comunicat apelantului în modul prevăzut de Regulamentul privind funcționarea sistemului de linii telefonice de urgență anticorupție, aprobat prin Legea nr. 252/2013, pentru a-i oferi posibilitatea de a afla despre acțiunile întreprinse după înregistrarea contestației.</w:t>
      </w:r>
    </w:p>
    <w:p w14:paraId="11BD39BD">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p>
    <w:p w14:paraId="235CBE49">
      <w:pPr>
        <w:pStyle w:val="61"/>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t>Linia anticorupție contribuie la creșterea transparenței și la consolidarea încrederii publicului în administrație, facilitând identificarea și gestionarea promptă a problemelor legate de corupție sau de alte nereguli administrative. Toate plângerile primite prin intermediul acestui canal sunt tratate cu prioritate și investigații riguroase.</w:t>
      </w:r>
    </w:p>
    <w:p w14:paraId="37FCB9F5">
      <w:pPr>
        <w:spacing w:line="276" w:lineRule="auto"/>
        <w:rPr>
          <w:rFonts w:ascii="Times New Roman" w:hAnsi="Times New Roman" w:cs="Times New Roman"/>
        </w:rPr>
      </w:pPr>
    </w:p>
    <w:p w14:paraId="658E63CC">
      <w:pPr>
        <w:spacing w:line="276" w:lineRule="auto"/>
        <w:jc w:val="both"/>
        <w:rPr>
          <w:rFonts w:ascii="Times New Roman" w:hAnsi="Times New Roman" w:cs="Times New Roman"/>
        </w:rPr>
      </w:pPr>
      <w:sdt>
        <w:sdtPr>
          <w:rPr>
            <w:rFonts w:ascii="Times New Roman" w:hAnsi="Times New Roman" w:cs="Times New Roman"/>
          </w:rPr>
          <w:tag w:val="goog_rdk_96"/>
          <w:id w:val="-571963150"/>
        </w:sdtPr>
        <w:sdtEndPr>
          <w:rPr>
            <w:rFonts w:ascii="Times New Roman" w:hAnsi="Times New Roman" w:cs="Times New Roman"/>
          </w:rPr>
        </w:sdtEndPr>
        <w:sdtContent/>
      </w:sdt>
      <w:r>
        <w:rPr>
          <w:rFonts w:ascii="Times New Roman" w:hAnsi="Times New Roman" w:cs="Times New Roman"/>
          <w:b/>
        </w:rPr>
        <w:t>GRM pentru muncitori.</w:t>
      </w:r>
      <w:r>
        <w:rPr>
          <w:rFonts w:ascii="Times New Roman" w:hAnsi="Times New Roman" w:cs="Times New Roman"/>
        </w:rPr>
        <w:t xml:space="preserve"> Contractanții, în calitate de angajatori, </w:t>
      </w:r>
      <w:sdt>
        <w:sdtPr>
          <w:rPr>
            <w:rFonts w:ascii="Times New Roman" w:hAnsi="Times New Roman" w:cs="Times New Roman"/>
          </w:rPr>
          <w:tag w:val="goog_rdk_97"/>
          <w:id w:val="479744343"/>
        </w:sdtPr>
        <w:sdtEndPr>
          <w:rPr>
            <w:rFonts w:ascii="Times New Roman" w:hAnsi="Times New Roman" w:cs="Times New Roman"/>
          </w:rPr>
        </w:sdtEndPr>
        <w:sdtContent>
          <w:r>
            <w:rPr>
              <w:rFonts w:ascii="Times New Roman" w:hAnsi="Times New Roman" w:cs="Times New Roman"/>
            </w:rPr>
            <w:t xml:space="preserve">sunt </w:t>
          </w:r>
        </w:sdtContent>
      </w:sdt>
      <w:r>
        <w:rPr>
          <w:rFonts w:ascii="Times New Roman" w:hAnsi="Times New Roman" w:cs="Times New Roman"/>
        </w:rPr>
        <w:t xml:space="preserve">obligați să își stabilească propriul mecanism intern de soluționare a reclamațiilor. Lucrătorii proiectului sunt informați cu privire la </w:t>
      </w:r>
      <w:r>
        <w:rPr>
          <w:rFonts w:hint="default" w:ascii="Times New Roman" w:hAnsi="Times New Roman" w:cs="Times New Roman"/>
          <w:lang w:val="ro-RO"/>
        </w:rPr>
        <w:t>GRM</w:t>
      </w:r>
      <w:r>
        <w:rPr>
          <w:rFonts w:ascii="Times New Roman" w:hAnsi="Times New Roman" w:cs="Times New Roman"/>
        </w:rPr>
        <w:t xml:space="preserve">-urile alternative în cazul în care problemele lor nu pot fi soluționate pe cale amiabilă de către angajatorii lor și/sau în cazul în care nu se simt în siguranță în raportarea plângerilor către angajatorii lor (cum ar fi condițiile de muncă nesigure). De asemenea, în cazul în care consideră că se află într-o situație periculoasă și nesigură, cu implicații dezastruoase pentru sănătate sau iminentă pentru viață, atunci când nu există timp pentru a notifica managerii companiei (supraîncălzirea containerelor cu risc de explozie, scurgeri de gaze, cabluri electrice rupte / neizolate etc.) trebuie să fie informați că pot </w:t>
      </w:r>
      <w:sdt>
        <w:sdtPr>
          <w:rPr>
            <w:rFonts w:ascii="Times New Roman" w:hAnsi="Times New Roman" w:cs="Times New Roman"/>
          </w:rPr>
          <w:tag w:val="goog_rdk_99"/>
          <w:id w:val="-863432584"/>
        </w:sdtPr>
        <w:sdtEndPr>
          <w:rPr>
            <w:rFonts w:ascii="Times New Roman" w:hAnsi="Times New Roman" w:cs="Times New Roman"/>
          </w:rPr>
        </w:sdtEndPr>
        <w:sdtContent>
          <w:r>
            <w:rPr>
              <w:rFonts w:ascii="Times New Roman" w:hAnsi="Times New Roman" w:cs="Times New Roman"/>
            </w:rPr>
            <w:t>depune o plângere direct la punctele focale sau la adresa indicată în tabelul 1,</w:t>
          </w:r>
        </w:sdtContent>
      </w:sdt>
      <w:r>
        <w:rPr>
          <w:rFonts w:ascii="Times New Roman" w:hAnsi="Times New Roman" w:cs="Times New Roman"/>
        </w:rPr>
        <w:t xml:space="preserve"> fără a fi penalizați ulterior de către companie.</w:t>
      </w:r>
    </w:p>
    <w:p w14:paraId="229780EC">
      <w:pPr>
        <w:pStyle w:val="59"/>
        <w:spacing w:line="276" w:lineRule="auto"/>
        <w:jc w:val="both"/>
        <w:rPr>
          <w:rFonts w:ascii="Times New Roman" w:hAnsi="Times New Roman" w:cs="Times New Roman"/>
        </w:rPr>
      </w:pPr>
      <w:bookmarkStart w:id="8" w:name="_heading=h.1fob9te" w:colFirst="0" w:colLast="0"/>
      <w:bookmarkEnd w:id="8"/>
      <w:r>
        <w:t xml:space="preserve">Informațiile privind existența mecanismului de soluționare a reclamațiilor vor fi ușor accesibile tuturor lucrătorilor din cadrul proiectului (direct și contractual) prin intermediul panourilor de informare și al altor mijloace, după caz. De asemenea, </w:t>
      </w:r>
      <w:r>
        <w:rPr>
          <w:rFonts w:hint="default"/>
          <w:lang w:val="ro-RO"/>
        </w:rPr>
        <w:t xml:space="preserve">GRM </w:t>
      </w:r>
      <w:r>
        <w:t xml:space="preserve">va fi descris în cadrul cursurilor de formare inițială a lucrătorilor, care vor fi oferite tuturor lucrătorilor din cadrul proiectului. </w:t>
      </w:r>
    </w:p>
    <w:p w14:paraId="231118EF">
      <w:pPr>
        <w:pStyle w:val="59"/>
        <w:spacing w:line="276" w:lineRule="auto"/>
        <w:jc w:val="both"/>
        <w:rPr>
          <w:rFonts w:ascii="Times New Roman" w:hAnsi="Times New Roman" w:cs="Times New Roman"/>
        </w:rPr>
      </w:pPr>
      <w:r>
        <w:t xml:space="preserve">Principala entitate de monitorizare a lucrătorilor va fi Inginerul de supraveghere a construcțiilor. Responsabilitatea sa va fi de a monitoriza câți angajați sunt la fața locului, dacă lucrează în condiții de siguranță, dacă sunt plătiți de contractant și nu sunt discriminați din niciun motiv.  </w:t>
      </w:r>
    </w:p>
    <w:p w14:paraId="61F65373">
      <w:pPr>
        <w:spacing w:line="276" w:lineRule="auto"/>
        <w:jc w:val="both"/>
        <w:rPr>
          <w:rFonts w:ascii="Times New Roman" w:hAnsi="Times New Roman" w:cs="Times New Roman"/>
        </w:rPr>
      </w:pPr>
    </w:p>
    <w:p w14:paraId="41EC5FAF">
      <w:pPr>
        <w:pStyle w:val="59"/>
        <w:spacing w:line="276" w:lineRule="auto"/>
        <w:jc w:val="both"/>
        <w:rPr>
          <w:rFonts w:ascii="Times New Roman" w:hAnsi="Times New Roman" w:cs="Times New Roman"/>
        </w:rPr>
      </w:pPr>
      <w:r>
        <w:t>Lucrătorii pot depune plângeri prin diferite canale (formulare online, e-mailuri, în persoană. Plângerea este recunoscută și se furnizează un număr de referință. Se efectuează o anchetă pentru a verifica faptele și a evalua validitatea plângerii. Pe baza constatărilor, se iau măsuri adecvate (de exemplu, măsuri disciplinare, modificări ale politicilor, compensații). Lucrătorul este informat cu privire la rezoluție și la orice măsuri luate. Lucrătorii pot contesta decizia dacă sunt nemulțumiți, cazul fiind examinat de o autoritate superioară. Asigurarea faptului că soluția este pusă în aplicare în mod eficace și prevenirea reapariției.</w:t>
      </w:r>
    </w:p>
    <w:p w14:paraId="69AC5FC2">
      <w:pPr>
        <w:pStyle w:val="59"/>
        <w:spacing w:line="276" w:lineRule="auto"/>
        <w:jc w:val="both"/>
        <w:rPr>
          <w:rFonts w:ascii="Times New Roman" w:hAnsi="Times New Roman" w:cs="Times New Roman"/>
        </w:rPr>
      </w:pPr>
      <w:r>
        <w:t>GRM la nivel de proiect se aplică UIP, contractanților, lucrătorilor, persoanelor care locuiesc în zona proiectului și va fi menținut pe întreaga perioadă de implementare a proiectului. GRM se va asigura că toate părțile interesate pot fi implicate în mod eficient în conceperea, punerea în aplicare a proiectului, va oferi personalului proiectului sugestii practice/feedback cu privire la activitățile proiectului, permițându-le să fie mai responsabile, mai transparente și mai receptive. Asigurarea unui proces echitabil și transparent pentru rezolvarea problemelor de la locul de muncă, menținerea unui mediu de lucru pozitiv și respectuos, protejarea lucrătorilor împotriva represaliilor și păstrarea confidențialității, contribuie la îmbunătățirea satisfacției angajaților, rezolvarea conflictelor și menținerea armoniei organizaționale.</w:t>
      </w:r>
    </w:p>
    <w:sdt>
      <w:sdtPr>
        <w:rPr>
          <w:rFonts w:ascii="Times New Roman" w:hAnsi="Times New Roman" w:cs="Times New Roman"/>
        </w:rPr>
        <w:tag w:val="goog_rdk_116"/>
        <w:id w:val="1231966738"/>
      </w:sdtPr>
      <w:sdtEndPr>
        <w:rPr>
          <w:rFonts w:ascii="Times New Roman" w:hAnsi="Times New Roman" w:cs="Times New Roman"/>
        </w:rPr>
      </w:sdtEndPr>
      <w:sdtContent>
        <w:p w14:paraId="14E27995">
          <w:pPr>
            <w:spacing w:line="276" w:lineRule="auto"/>
            <w:jc w:val="both"/>
            <w:rPr>
              <w:rFonts w:ascii="Times New Roman" w:hAnsi="Times New Roman" w:cs="Times New Roman"/>
            </w:rPr>
          </w:pPr>
          <w:sdt>
            <w:sdtPr>
              <w:rPr>
                <w:rFonts w:ascii="Times New Roman" w:hAnsi="Times New Roman" w:cs="Times New Roman"/>
              </w:rPr>
              <w:tag w:val="goog_rdk_115"/>
              <w:id w:val="-556938141"/>
            </w:sdtPr>
            <w:sdtEndPr>
              <w:rPr>
                <w:rFonts w:ascii="Times New Roman" w:hAnsi="Times New Roman" w:cs="Times New Roman"/>
              </w:rPr>
            </w:sdtEndPr>
            <w:sdtContent/>
          </w:sdt>
        </w:p>
      </w:sdtContent>
    </w:sdt>
    <w:p w14:paraId="4F5F1661">
      <w:pPr>
        <w:spacing w:line="276" w:lineRule="auto"/>
        <w:jc w:val="both"/>
        <w:rPr>
          <w:rFonts w:ascii="Times New Roman" w:hAnsi="Times New Roman" w:cs="Times New Roman"/>
        </w:rPr>
      </w:pPr>
      <w:r>
        <w:rPr>
          <w:rFonts w:ascii="Times New Roman" w:hAnsi="Times New Roman" w:cs="Times New Roman"/>
          <w:b/>
        </w:rPr>
        <w:t xml:space="preserve">Exploatarea </w:t>
      </w:r>
      <w:sdt>
        <w:sdtPr>
          <w:rPr>
            <w:rFonts w:ascii="Times New Roman" w:hAnsi="Times New Roman" w:cs="Times New Roman"/>
            <w:b/>
            <w:bCs/>
          </w:rPr>
          <w:tag w:val="goog_rdk_118"/>
          <w:id w:val="-1411999350"/>
        </w:sdtPr>
        <w:sdtEndPr>
          <w:rPr>
            <w:rFonts w:ascii="Times New Roman" w:hAnsi="Times New Roman" w:cs="Times New Roman"/>
            <w:b/>
            <w:bCs/>
          </w:rPr>
        </w:sdtEndPr>
        <w:sdtContent>
          <w:r>
            <w:rPr>
              <w:rFonts w:ascii="Times New Roman" w:hAnsi="Times New Roman" w:cs="Times New Roman"/>
              <w:b/>
            </w:rPr>
            <w:t xml:space="preserve"> </w:t>
          </w:r>
          <w:sdt>
            <w:sdtPr>
              <w:rPr>
                <w:rFonts w:ascii="Times New Roman" w:hAnsi="Times New Roman" w:cs="Times New Roman"/>
                <w:b/>
                <w:bCs/>
              </w:rPr>
              <w:tag w:val="goog_rdk_117"/>
              <w:id w:val="-471213568"/>
            </w:sdtPr>
            <w:sdtEndPr>
              <w:rPr>
                <w:rFonts w:ascii="Times New Roman" w:hAnsi="Times New Roman" w:cs="Times New Roman"/>
                <w:b/>
                <w:bCs/>
              </w:rPr>
            </w:sdtEndPr>
            <w:sdtContent/>
          </w:sdt>
        </w:sdtContent>
      </w:sdt>
      <w:r>
        <w:rPr>
          <w:rFonts w:ascii="Times New Roman" w:hAnsi="Times New Roman" w:cs="Times New Roman"/>
          <w:b/>
        </w:rPr>
        <w:t>sexuală și abuzul/hărțuirile sexuale (SEA/SH) Mecanismul de soluționare a plângerilor.</w:t>
      </w:r>
      <w:r>
        <w:rPr>
          <w:rFonts w:ascii="Times New Roman" w:hAnsi="Times New Roman" w:cs="Times New Roman"/>
        </w:rPr>
        <w:t xml:space="preserve"> Proiectul adoptă o abordare cuprinzătoare și centrată pe supraviețuitori pentru tratarea plângerilor sensibile și confidențiale, inclusiv a celor legate de exploatarea sexuală, abuz și hărțuire (SEA/SH), în conformitate cu Nota de bune practici privind SEA/SH a Cadrului social și de mediu al Băncii Mondiale (FSE). Mecanismul de soluționare a reclamațiilor (</w:t>
      </w:r>
      <w:r>
        <w:rPr>
          <w:rFonts w:hint="default" w:ascii="Times New Roman" w:hAnsi="Times New Roman" w:cs="Times New Roman"/>
          <w:lang w:val="ro-RO"/>
        </w:rPr>
        <w:t>GM</w:t>
      </w:r>
      <w:r>
        <w:rPr>
          <w:rFonts w:ascii="Times New Roman" w:hAnsi="Times New Roman" w:cs="Times New Roman"/>
        </w:rPr>
        <w:t xml:space="preserve">) asigură că supraviețuitorii sunt protejați împotriva stigmatizării, respingerii și represaliilor, oferind în același timp acces în timp util la serviciile de asistență. </w:t>
      </w:r>
    </w:p>
    <w:p w14:paraId="752A9BF5">
      <w:pPr>
        <w:pStyle w:val="59"/>
        <w:jc w:val="both"/>
        <w:rPr>
          <w:rFonts w:ascii="Times New Roman" w:hAnsi="Times New Roman" w:cs="Times New Roman"/>
        </w:rPr>
      </w:pPr>
      <w:r>
        <w:t xml:space="preserve">Punctele focale SRA și MCS </w:t>
      </w:r>
      <w:r>
        <w:rPr>
          <w:rFonts w:hint="default"/>
          <w:lang w:val="ro-RO"/>
        </w:rPr>
        <w:t xml:space="preserve"> pentru </w:t>
      </w:r>
      <w:r>
        <w:t xml:space="preserve">GRM vor acționa, de asemenea, ca puncte focale SEA/SH. Punctele focale SEA/SH ale proiectului înainte de a primi plângeri din partea supraviețuitorilor SEA/SH ar trebui să furnizeze informații cu privire la obligațiile de raportare obligatorii în temeiul legislației moldovenești, al mandatului </w:t>
      </w:r>
      <w:r>
        <w:rPr>
          <w:rFonts w:hint="default"/>
          <w:lang w:val="ro-RO"/>
        </w:rPr>
        <w:t>GM</w:t>
      </w:r>
      <w:r>
        <w:t xml:space="preserve">, inclusiv limitările acestuia și disponibilitatea serviciilor </w:t>
      </w:r>
      <w:r>
        <w:rPr>
          <w:rFonts w:hint="default"/>
          <w:lang w:val="ro-RO"/>
        </w:rPr>
        <w:t>GBV</w:t>
      </w:r>
      <w:r>
        <w:t>. Acest lucru ar trebui să permită supraviețuitorilor să facă alegeri în cunoștință de cauză cu privire la lansarea plângerilor oficiale prin intermediul proiectului GM relevant.</w:t>
      </w:r>
    </w:p>
    <w:p w14:paraId="75844D2C">
      <w:pPr>
        <w:pStyle w:val="59"/>
        <w:spacing w:after="120"/>
        <w:jc w:val="both"/>
        <w:rPr>
          <w:rFonts w:ascii="Times New Roman" w:hAnsi="Times New Roman" w:cs="Times New Roman"/>
        </w:rPr>
      </w:pPr>
      <w:r>
        <w:t xml:space="preserve">Punctele focale SEA/SH ale proiectului în timpul primirii unei plângeri ar trebui să solicite numai următoarele informații: </w:t>
      </w:r>
    </w:p>
    <w:p w14:paraId="6F918C64">
      <w:pPr>
        <w:pStyle w:val="39"/>
        <w:numPr>
          <w:ilvl w:val="0"/>
          <w:numId w:val="7"/>
        </w:numPr>
        <w:spacing w:after="0" w:line="240" w:lineRule="auto"/>
        <w:jc w:val="both"/>
        <w:rPr>
          <w:rFonts w:ascii="Times New Roman" w:hAnsi="Times New Roman" w:cs="Times New Roman"/>
        </w:rPr>
      </w:pPr>
      <w:r>
        <w:rPr>
          <w:rFonts w:ascii="Times New Roman" w:hAnsi="Times New Roman" w:cs="Times New Roman"/>
        </w:rPr>
        <w:t xml:space="preserve">natura afirmației – astfel cum a fost exprimată de un supraviețuitor în propriile sale cuvinte, fără interogatoriu direct; </w:t>
      </w:r>
    </w:p>
    <w:p w14:paraId="3DC3B876">
      <w:pPr>
        <w:pStyle w:val="73"/>
        <w:numPr>
          <w:ilvl w:val="0"/>
          <w:numId w:val="7"/>
        </w:numPr>
        <w:spacing w:after="0" w:line="240" w:lineRule="auto"/>
        <w:jc w:val="both"/>
        <w:rPr>
          <w:rFonts w:ascii="Times New Roman" w:hAnsi="Times New Roman" w:cs="Times New Roman"/>
        </w:rPr>
      </w:pPr>
      <w:r>
        <w:t xml:space="preserve">dacă, din informațiile pe care le deține supraviețuitorul, autorul este asociat proiectului; </w:t>
      </w:r>
    </w:p>
    <w:p w14:paraId="18886282">
      <w:pPr>
        <w:pStyle w:val="73"/>
        <w:numPr>
          <w:ilvl w:val="0"/>
          <w:numId w:val="7"/>
        </w:numPr>
        <w:spacing w:after="0" w:line="240" w:lineRule="auto"/>
        <w:jc w:val="both"/>
        <w:rPr>
          <w:rFonts w:ascii="Times New Roman" w:hAnsi="Times New Roman" w:cs="Times New Roman"/>
        </w:rPr>
      </w:pPr>
      <w:r>
        <w:t xml:space="preserve">atunci când este posibil, vârsta și sexul unui supraviețuitor; și </w:t>
      </w:r>
    </w:p>
    <w:p w14:paraId="4337CE52">
      <w:pPr>
        <w:pStyle w:val="73"/>
        <w:numPr>
          <w:ilvl w:val="0"/>
          <w:numId w:val="7"/>
        </w:numPr>
        <w:spacing w:after="0" w:line="240" w:lineRule="auto"/>
        <w:jc w:val="both"/>
        <w:rPr>
          <w:rFonts w:ascii="Times New Roman" w:hAnsi="Times New Roman" w:cs="Times New Roman"/>
        </w:rPr>
      </w:pPr>
      <w:r>
        <w:t xml:space="preserve">atunci când este posibil, informații din care să reiasă dacă supraviețuitorul a fost direcționat către servicii. </w:t>
      </w:r>
    </w:p>
    <w:p w14:paraId="4EF3095D">
      <w:pPr>
        <w:pStyle w:val="52"/>
        <w:rPr>
          <w:rFonts w:ascii="Times New Roman" w:hAnsi="Times New Roman" w:cs="Times New Roman"/>
          <w:color w:val="auto"/>
          <w:sz w:val="22"/>
          <w:szCs w:val="22"/>
        </w:rPr>
      </w:pPr>
    </w:p>
    <w:p w14:paraId="5CBB0C00">
      <w:pPr>
        <w:pStyle w:val="74"/>
        <w:jc w:val="both"/>
        <w:rPr>
          <w:rFonts w:ascii="Times New Roman" w:hAnsi="Times New Roman" w:cs="Times New Roman"/>
          <w:color w:val="auto"/>
          <w:sz w:val="22"/>
          <w:szCs w:val="22"/>
        </w:rPr>
      </w:pPr>
      <w:r>
        <w:t xml:space="preserve">După primirea unei plângeri, punctele focale SEA/SH ale proiectului direcționează cu promptitudine supraviețuitorul către serviciul (serviciile) specializat(e) privind violența bazată pe gen (asistență medicală, juridică, psihosocială, de securitate și de altă natură), după obținerea consimțământului acestuia. Formularul  este atașat ca anexa 3. În cazul în care supraviețuitorul are mai puțin de 18 ani, este necesar consimțământul părinților/tutorelui acestuia. Referirea la servicii depinde de consimțământul, nevoile și alegerile supraviețuitorului. </w:t>
      </w:r>
    </w:p>
    <w:p w14:paraId="0EC84654">
      <w:pPr>
        <w:pStyle w:val="52"/>
        <w:jc w:val="both"/>
        <w:rPr>
          <w:rFonts w:ascii="Times New Roman" w:hAnsi="Times New Roman" w:cs="Times New Roman"/>
          <w:color w:val="auto"/>
          <w:sz w:val="22"/>
          <w:szCs w:val="22"/>
        </w:rPr>
      </w:pPr>
    </w:p>
    <w:p w14:paraId="343EAE54">
      <w:pPr>
        <w:pStyle w:val="74"/>
        <w:jc w:val="both"/>
        <w:rPr>
          <w:rFonts w:ascii="Times New Roman" w:hAnsi="Times New Roman" w:cs="Times New Roman"/>
          <w:color w:val="auto"/>
          <w:sz w:val="22"/>
          <w:szCs w:val="22"/>
        </w:rPr>
      </w:pPr>
      <w:r>
        <w:t xml:space="preserve">Lista furnizorilor locali de servicii va fi indicată în timpul implementării proiectului și înainte de începerea oricăror lucrări civile.  </w:t>
      </w:r>
    </w:p>
    <w:p w14:paraId="63B28DA0">
      <w:pPr>
        <w:jc w:val="both"/>
        <w:rPr>
          <w:rFonts w:ascii="Times New Roman" w:hAnsi="Times New Roman" w:cs="Times New Roman"/>
        </w:rPr>
      </w:pPr>
    </w:p>
    <w:p w14:paraId="53F02D68">
      <w:pPr>
        <w:pStyle w:val="59"/>
        <w:spacing w:line="276" w:lineRule="auto"/>
        <w:jc w:val="both"/>
        <w:rPr>
          <w:rFonts w:ascii="Times New Roman" w:hAnsi="Times New Roman" w:cs="Times New Roman"/>
        </w:rPr>
      </w:pPr>
      <w:r>
        <w:t>Unitățile de implementare a proiectelor (UIP), contractanții și subcontractanții sunt responsabili pentru crearea unui mediu sigur și propice în care supraviețuitorii și membrii comunității să poată raporta incidentele fără teama de represalii, având încredere că autorii vor fi trași la răspundere.</w:t>
      </w:r>
    </w:p>
    <w:p w14:paraId="400AD968">
      <w:pPr>
        <w:pStyle w:val="59"/>
        <w:spacing w:line="276" w:lineRule="auto"/>
        <w:jc w:val="both"/>
        <w:rPr>
          <w:rFonts w:ascii="Times New Roman" w:hAnsi="Times New Roman" w:cs="Times New Roman"/>
        </w:rPr>
      </w:pPr>
      <w:r>
        <w:t>Înainte de luarea unor măsuri suplimentare, beneficiarii plângerilor trebuie să obțină consimțământul explicit al supraviețuitorului. Formularul de consimțământ este atașat ca anexa 3. Pentru a gestiona în mod corespunzător SEA / SH GRM, personalul UIP, punctele focale GBV, contractanții și inginerii de supraveghere vor fi instruiți înainte de a începe orice lucrări civile.</w:t>
      </w:r>
    </w:p>
    <w:p w14:paraId="5BA71C39">
      <w:pPr>
        <w:pStyle w:val="59"/>
        <w:spacing w:line="276" w:lineRule="auto"/>
        <w:jc w:val="both"/>
        <w:rPr>
          <w:rFonts w:ascii="Times New Roman" w:hAnsi="Times New Roman" w:cs="Times New Roman"/>
        </w:rPr>
      </w:pPr>
      <w:r>
        <w:t>La primirea conformității și a consimțământului din partea supraviețuitorilor, plângerile SEA/SH vor fi înregistrate într-un sistem electronic protejat prin parolă întreținut de punctele focale SRA și MCS GRM, care vor acționa, de asemenea, ca punct focal SEA/SH GRM, asigurând confidențialitatea.</w:t>
      </w:r>
    </w:p>
    <w:p w14:paraId="34F28C34">
      <w:pPr>
        <w:pStyle w:val="59"/>
        <w:spacing w:line="276" w:lineRule="auto"/>
        <w:jc w:val="both"/>
        <w:rPr>
          <w:rFonts w:ascii="Times New Roman" w:hAnsi="Times New Roman" w:cs="Times New Roman"/>
        </w:rPr>
      </w:pPr>
      <w:r>
        <w:t>Principalele responsabilități ale punctelor focale SEA/SH includ:</w:t>
      </w:r>
    </w:p>
    <w:p w14:paraId="57F96408">
      <w:pPr>
        <w:pStyle w:val="59"/>
        <w:numPr>
          <w:ilvl w:val="0"/>
          <w:numId w:val="8"/>
        </w:numPr>
        <w:spacing w:after="0" w:line="276" w:lineRule="auto"/>
        <w:jc w:val="both"/>
        <w:rPr>
          <w:rFonts w:ascii="Times New Roman" w:hAnsi="Times New Roman" w:cs="Times New Roman"/>
        </w:rPr>
      </w:pPr>
      <w:r>
        <w:t>Recunoașterea și înregistrarea reclamațiilor în jurnalul GM.</w:t>
      </w:r>
    </w:p>
    <w:p w14:paraId="157F6924">
      <w:pPr>
        <w:pStyle w:val="59"/>
        <w:numPr>
          <w:ilvl w:val="0"/>
          <w:numId w:val="8"/>
        </w:numPr>
        <w:spacing w:after="0" w:line="276" w:lineRule="auto"/>
        <w:jc w:val="both"/>
        <w:rPr>
          <w:rFonts w:ascii="Times New Roman" w:hAnsi="Times New Roman" w:cs="Times New Roman"/>
        </w:rPr>
      </w:pPr>
      <w:r>
        <w:t>Trimiterea supraviețuitorilor la furnizorii de servicii GBV, cu consimțământul acestora.</w:t>
      </w:r>
    </w:p>
    <w:p w14:paraId="53F14293">
      <w:pPr>
        <w:pStyle w:val="59"/>
        <w:numPr>
          <w:ilvl w:val="0"/>
          <w:numId w:val="8"/>
        </w:numPr>
        <w:spacing w:after="0" w:line="276" w:lineRule="auto"/>
        <w:jc w:val="both"/>
        <w:rPr>
          <w:rFonts w:ascii="Times New Roman" w:hAnsi="Times New Roman" w:cs="Times New Roman"/>
        </w:rPr>
      </w:pPr>
      <w:r>
        <w:t>Raportarea incidentelor către autoritățile de aplicare a legii, în conformitate cu legislația Republicii Moldova, și obținerea consimțământului supraviețuitorilor, după caz.</w:t>
      </w:r>
    </w:p>
    <w:p w14:paraId="6993D997">
      <w:pPr>
        <w:spacing w:line="276" w:lineRule="auto"/>
        <w:jc w:val="both"/>
        <w:rPr>
          <w:rFonts w:ascii="Times New Roman" w:hAnsi="Times New Roman" w:cs="Times New Roman"/>
        </w:rPr>
      </w:pPr>
    </w:p>
    <w:p w14:paraId="680F6E0A">
      <w:pPr>
        <w:pStyle w:val="59"/>
        <w:spacing w:line="276" w:lineRule="auto"/>
        <w:jc w:val="both"/>
        <w:rPr>
          <w:rFonts w:ascii="Times New Roman" w:hAnsi="Times New Roman" w:cs="Times New Roman"/>
        </w:rPr>
      </w:pPr>
      <w:r>
        <w:t>Pentru a asigura cunoașterea pe scară largă a informațiilor GM privind procedurile de raportare este afișată în locuri publice ușor accesibile, inclusiv site-uri de proiect, birouri municipale, unități de asistență medicală și organizații de servicii GBV. UIP, contractanții și subcontractanții diseminează informații prin cursuri de formare, campanii de sensibilizare și materiale informative.</w:t>
      </w:r>
    </w:p>
    <w:p w14:paraId="32FD5CF6">
      <w:pPr>
        <w:spacing w:line="276" w:lineRule="auto"/>
        <w:jc w:val="both"/>
        <w:rPr>
          <w:rFonts w:ascii="Times New Roman" w:hAnsi="Times New Roman" w:cs="Times New Roman"/>
        </w:rPr>
      </w:pPr>
    </w:p>
    <w:p w14:paraId="3CE40F5A">
      <w:pPr>
        <w:pStyle w:val="59"/>
        <w:spacing w:line="276" w:lineRule="auto"/>
        <w:jc w:val="both"/>
        <w:rPr>
          <w:rFonts w:ascii="Times New Roman" w:hAnsi="Times New Roman" w:cs="Times New Roman"/>
        </w:rPr>
      </w:pPr>
      <w:r>
        <w:t>Contractanții sunt responsabili pentru elaborarea și punerea în aplicare a unei proceduri SEA/SH solide pentru a asigura prevenirea, răspunsul și gestionarea eficace a riscurilor SEA/SH în cadrul proiectului. Această procedură trebuie să se alinieze la mecanismul de soluționare a reclamațiilor (MG) al proiectului și să respecte principiile confidențialității, abordările centrate pe supraviețuitori și respectarea legislației naționale. Contractantul are sarcina de a promova un mediu care încurajează raportarea fără teama de represalii prin diseminarea de informații clare privind canalele de raportare, desfășurarea de campanii de sensibilizare și furnizarea de formare pentru toți lucrătorii cu privire la prevenirea și răspunsul SEA/SH. În plus, contractantul trebuie să instituie un sistem de trimitere promptă a supraviețuitorilor către furnizorii specializați de servicii GBV și să se asigure că toate plângerile SEA/SH sunt înregistrate și tratate în mod corespunzător, cu cea mai mare confidențialitate. De asemenea, se preconizează că contractantul va colabora cu părțile interesate ale proiectului, inclusiv cu UIP și cu inginerii de supraveghere, pentru a menține un mecanism cuprinzător și accesibil de soluționare a reclamațiilor, asigurând în același timp respectarea cerințelor obligatorii de raportare și a protocoalelor privind consimțământul supraviețuitorilor. Procedura mai detaliată va fi elaborată în ESMP și ESMP contractant.</w:t>
      </w:r>
    </w:p>
    <w:p w14:paraId="142DBC33">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p>
    <w:p w14:paraId="3999B576">
      <w:pPr>
        <w:pStyle w:val="69"/>
        <w:spacing w:before="0" w:line="276" w:lineRule="auto"/>
        <w:rPr>
          <w:rFonts w:ascii="Times New Roman" w:hAnsi="Times New Roman" w:eastAsia="Times New Roman" w:cs="Times New Roman"/>
          <w:sz w:val="22"/>
          <w:szCs w:val="22"/>
        </w:rPr>
      </w:pPr>
      <w:bookmarkStart w:id="9" w:name="_heading=h.3znysh7" w:colFirst="0" w:colLast="0"/>
      <w:bookmarkEnd w:id="9"/>
      <w:bookmarkStart w:id="10" w:name="_Toc184883429"/>
      <w:r>
        <w:t>Jurnalul plângerilor</w:t>
      </w:r>
      <w:bookmarkEnd w:id="10"/>
    </w:p>
    <w:p w14:paraId="3D606F2F">
      <w:pPr>
        <w:pStyle w:val="59"/>
        <w:spacing w:line="276" w:lineRule="auto"/>
        <w:jc w:val="both"/>
        <w:rPr>
          <w:rFonts w:ascii="Times New Roman" w:hAnsi="Times New Roman" w:cs="Times New Roman"/>
        </w:rPr>
      </w:pPr>
      <w:r>
        <w:t>Este important ca toate plângerile, inclusiv cele anonime, să fie înregistrate în scris și stocate într-o bază de date.  Fiecărei plângeri ar trebui să i se atribuie un număr de referință individual și să se finalizeze acțiunile urmărite și înregistrate în mod corespunzător. Toate plângerile depuse vor fi înregistrate/înscrise într-un registru/o bază de date unică. Plângerile primite direct de la nivel local vor fi, de asemenea, trimise către SRA/MCS pentru a fi înregistrate în registrul unic. SRA/MCS va fi punctul focal al acestui proiect. Astfel, SRA/MCS va colecta nemulțumirile și le va direcționa în continuare la nivel local sau la nivelul Proiectului pentru examinare și soluționare în funcție de subiectul și localizarea nemulțumirii.</w:t>
      </w:r>
    </w:p>
    <w:p w14:paraId="379636DD">
      <w:pPr>
        <w:pStyle w:val="59"/>
        <w:spacing w:line="276" w:lineRule="auto"/>
        <w:ind w:firstLine="426"/>
        <w:jc w:val="both"/>
        <w:rPr>
          <w:rFonts w:ascii="Times New Roman" w:hAnsi="Times New Roman" w:cs="Times New Roman"/>
        </w:rPr>
      </w:pPr>
      <w:r>
        <w:t>În cadrul proiectului va fi dezvoltată o bază de date simplă pentru gestionarea și monitorizarea nemulțumirilor. Documentația privind plângerile va include:</w:t>
      </w:r>
    </w:p>
    <w:p w14:paraId="18C39F7E">
      <w:pPr>
        <w:pStyle w:val="59"/>
        <w:spacing w:line="276" w:lineRule="auto"/>
        <w:ind w:left="709" w:hanging="283"/>
        <w:jc w:val="both"/>
        <w:rPr>
          <w:rFonts w:ascii="Times New Roman" w:hAnsi="Times New Roman" w:cs="Times New Roman"/>
        </w:rPr>
      </w:pPr>
      <w:r>
        <w:t>•</w:t>
      </w:r>
      <w:r>
        <w:tab/>
      </w:r>
      <w:r>
        <w:t>numele și datele de contact ale reclamantului;</w:t>
      </w:r>
    </w:p>
    <w:p w14:paraId="23CA6B22">
      <w:pPr>
        <w:pStyle w:val="59"/>
        <w:spacing w:line="276" w:lineRule="auto"/>
        <w:ind w:left="709" w:hanging="283"/>
        <w:jc w:val="both"/>
        <w:rPr>
          <w:rFonts w:ascii="Times New Roman" w:hAnsi="Times New Roman" w:cs="Times New Roman"/>
        </w:rPr>
      </w:pPr>
      <w:r>
        <w:t>•</w:t>
      </w:r>
      <w:r>
        <w:tab/>
      </w:r>
      <w:r>
        <w:t>data și natura plângerii;</w:t>
      </w:r>
    </w:p>
    <w:p w14:paraId="277CC055">
      <w:pPr>
        <w:pStyle w:val="59"/>
        <w:spacing w:line="276" w:lineRule="auto"/>
        <w:ind w:left="709" w:hanging="283"/>
        <w:jc w:val="both"/>
        <w:rPr>
          <w:rFonts w:ascii="Times New Roman" w:hAnsi="Times New Roman" w:cs="Times New Roman"/>
        </w:rPr>
      </w:pPr>
      <w:r>
        <w:t>•</w:t>
      </w:r>
      <w:r>
        <w:tab/>
      </w:r>
      <w:r>
        <w:t>grupul însărcinat cu soluționarea plângerii;</w:t>
      </w:r>
    </w:p>
    <w:p w14:paraId="77EB5391">
      <w:pPr>
        <w:pStyle w:val="59"/>
        <w:spacing w:line="276" w:lineRule="auto"/>
        <w:ind w:left="709" w:hanging="283"/>
        <w:jc w:val="both"/>
        <w:rPr>
          <w:rFonts w:ascii="Times New Roman" w:hAnsi="Times New Roman" w:cs="Times New Roman"/>
        </w:rPr>
      </w:pPr>
      <w:r>
        <w:t>•</w:t>
      </w:r>
      <w:r>
        <w:tab/>
      </w:r>
      <w:r>
        <w:t>orice acțiuni subsecvente întreprinse;</w:t>
      </w:r>
    </w:p>
    <w:p w14:paraId="19F1E7F3">
      <w:pPr>
        <w:pStyle w:val="59"/>
        <w:spacing w:line="276" w:lineRule="auto"/>
        <w:ind w:left="709" w:hanging="283"/>
        <w:jc w:val="both"/>
        <w:rPr>
          <w:rFonts w:ascii="Times New Roman" w:hAnsi="Times New Roman" w:cs="Times New Roman"/>
        </w:rPr>
      </w:pPr>
      <w:r>
        <w:t>•</w:t>
      </w:r>
      <w:r>
        <w:tab/>
      </w:r>
      <w:r>
        <w:t>propunerea de soluționare a plângerii; și</w:t>
      </w:r>
    </w:p>
    <w:p w14:paraId="705C1BEF">
      <w:pPr>
        <w:pStyle w:val="59"/>
        <w:spacing w:line="276" w:lineRule="auto"/>
        <w:ind w:left="709" w:hanging="283"/>
        <w:jc w:val="both"/>
        <w:rPr>
          <w:rFonts w:ascii="Times New Roman" w:hAnsi="Times New Roman" w:cs="Times New Roman"/>
        </w:rPr>
      </w:pPr>
      <w:r>
        <w:t>•</w:t>
      </w:r>
      <w:r>
        <w:tab/>
      </w:r>
      <w:r>
        <w:t>modul și momentul în care deciziile relevante privind proiectele au fost comunicate reclamanților.</w:t>
      </w:r>
    </w:p>
    <w:p w14:paraId="13F6CD92">
      <w:pPr>
        <w:spacing w:line="276" w:lineRule="auto"/>
        <w:ind w:firstLine="426"/>
        <w:jc w:val="both"/>
        <w:rPr>
          <w:rFonts w:ascii="Times New Roman" w:hAnsi="Times New Roman" w:cs="Times New Roman"/>
        </w:rPr>
      </w:pPr>
      <w:sdt>
        <w:sdtPr>
          <w:rPr>
            <w:rFonts w:ascii="Times New Roman" w:hAnsi="Times New Roman" w:cs="Times New Roman"/>
          </w:rPr>
          <w:tag w:val="goog_rdk_148"/>
          <w:id w:val="1569997421"/>
        </w:sdtPr>
        <w:sdtEndPr>
          <w:rPr>
            <w:rFonts w:ascii="Times New Roman" w:hAnsi="Times New Roman" w:cs="Times New Roman"/>
          </w:rPr>
        </w:sdtEndPr>
        <w:sdtContent/>
      </w:sdt>
      <w:sdt>
        <w:sdtPr>
          <w:rPr>
            <w:rFonts w:ascii="Times New Roman" w:hAnsi="Times New Roman" w:cs="Times New Roman"/>
          </w:rPr>
          <w:tag w:val="goog_rdk_149"/>
          <w:id w:val="-1467191740"/>
        </w:sdtPr>
        <w:sdtEndPr>
          <w:rPr>
            <w:rFonts w:ascii="Times New Roman" w:hAnsi="Times New Roman" w:cs="Times New Roman"/>
          </w:rPr>
        </w:sdtEndPr>
        <w:sdtContent/>
      </w:sdt>
      <w:r>
        <w:rPr>
          <w:rFonts w:ascii="Times New Roman" w:hAnsi="Times New Roman" w:cs="Times New Roman"/>
        </w:rPr>
        <w:t>Pentru nemulțumirile verbale, reclamantului i se va sugera să utilizeze numărul de telefon pentru a înregistra un mesaj verbal.  Proiectul va facilita, de asemenea, acordarea de asistență reclamantului în transcrierea unei plângeri scrise, după caz.   Pentru a asigura incluziunea și accesibilitatea, permițând tuturor să participe efectiv la procesul de depunere a plângerilor, ambele instituții dispun de o linie telefonică de urgență unde cetățenii își pot înregistra plângerile verbal, pe care personalul o poate documenta ulterior în scris.</w:t>
      </w:r>
    </w:p>
    <w:p w14:paraId="7E392304">
      <w:pPr>
        <w:pStyle w:val="59"/>
        <w:spacing w:line="276" w:lineRule="auto"/>
        <w:ind w:firstLine="426"/>
        <w:jc w:val="both"/>
        <w:rPr>
          <w:rFonts w:ascii="Times New Roman" w:hAnsi="Times New Roman" w:cs="Times New Roman"/>
        </w:rPr>
      </w:pPr>
      <w:r>
        <w:t xml:space="preserve">Registrul de reclamații va fi transmis Băncii trimestriale pentru revizuire. Modelul jurnalului GRM este atașat ca anexa 2. </w:t>
      </w:r>
    </w:p>
    <w:p w14:paraId="5A075435">
      <w:pPr>
        <w:pStyle w:val="3"/>
        <w:spacing w:before="0" w:line="276" w:lineRule="auto"/>
        <w:rPr>
          <w:rFonts w:ascii="Times New Roman" w:hAnsi="Times New Roman" w:eastAsia="Times New Roman" w:cs="Times New Roman"/>
          <w:sz w:val="22"/>
          <w:szCs w:val="22"/>
        </w:rPr>
      </w:pPr>
    </w:p>
    <w:p w14:paraId="66366951">
      <w:pPr>
        <w:pStyle w:val="69"/>
        <w:spacing w:before="0" w:line="276" w:lineRule="auto"/>
        <w:rPr>
          <w:rFonts w:ascii="Times New Roman" w:hAnsi="Times New Roman" w:eastAsia="Times New Roman" w:cs="Times New Roman"/>
          <w:sz w:val="22"/>
          <w:szCs w:val="22"/>
        </w:rPr>
      </w:pPr>
      <w:bookmarkStart w:id="11" w:name="_heading=h.2et92p0" w:colFirst="0" w:colLast="0"/>
      <w:bookmarkEnd w:id="11"/>
      <w:bookmarkStart w:id="12" w:name="_Toc184883430"/>
      <w:r>
        <w:t>Consolidarea sensibilizării și a capacităților</w:t>
      </w:r>
      <w:bookmarkEnd w:id="12"/>
    </w:p>
    <w:p w14:paraId="50733020">
      <w:pPr>
        <w:spacing w:line="276" w:lineRule="auto"/>
        <w:rPr>
          <w:rFonts w:ascii="Times New Roman" w:hAnsi="Times New Roman" w:cs="Times New Roman"/>
        </w:rPr>
      </w:pPr>
    </w:p>
    <w:p w14:paraId="6E0A2472">
      <w:pPr>
        <w:pStyle w:val="59"/>
        <w:spacing w:line="276" w:lineRule="auto"/>
        <w:jc w:val="both"/>
        <w:rPr>
          <w:rFonts w:ascii="Times New Roman" w:hAnsi="Times New Roman" w:cs="Times New Roman"/>
        </w:rPr>
      </w:pPr>
      <w:r>
        <w:t>Vor fi elaborate materiale de comunicare dedicate, cum ar fi pamflete și afișe GRM, pentru a-i ajuta pe locuitorii din zonă să se familiarizeze cu canalele și procedurile de soluționare a reclamațiilor. Un ghid/manual GRM va fi, de asemenea, pregătit pentru SIMC-uri, iar casetele de sugestii vor fi instalate în fiecare comunitate afectată, asigurându-se că plângerile anonime ar putea fi, de asemenea, trimise.</w:t>
      </w:r>
    </w:p>
    <w:p w14:paraId="16252E0A">
      <w:pPr>
        <w:spacing w:line="276" w:lineRule="auto"/>
        <w:jc w:val="both"/>
        <w:rPr>
          <w:rFonts w:ascii="Times New Roman" w:hAnsi="Times New Roman" w:cs="Times New Roman"/>
        </w:rPr>
      </w:pPr>
    </w:p>
    <w:p w14:paraId="2B63FC97">
      <w:pPr>
        <w:pStyle w:val="59"/>
        <w:spacing w:line="276" w:lineRule="auto"/>
        <w:jc w:val="both"/>
        <w:rPr>
          <w:rFonts w:ascii="Times New Roman" w:hAnsi="Times New Roman" w:cs="Times New Roman"/>
        </w:rPr>
      </w:pPr>
      <w:r>
        <w:t>Site-ul UIP va oferi informații clare cu privire la modul în care părțile interesate pot transmite feedback, întrebări, observații, preocupări și nemulțumiri. Acesta va oferi, de asemenea, opțiunea de a depune plângeri în format electronic. În plus, site-ul va include detalii cu privire la modul în care funcționează comitetul GRM, inclusiv procesele și termenele sale.</w:t>
      </w:r>
    </w:p>
    <w:p w14:paraId="35DE0738">
      <w:pPr>
        <w:spacing w:line="276" w:lineRule="auto"/>
        <w:jc w:val="both"/>
        <w:rPr>
          <w:rFonts w:ascii="Times New Roman" w:hAnsi="Times New Roman" w:cs="Times New Roman"/>
        </w:rPr>
      </w:pPr>
    </w:p>
    <w:p w14:paraId="21C7CB6F">
      <w:pPr>
        <w:pStyle w:val="59"/>
        <w:spacing w:line="276" w:lineRule="auto"/>
        <w:jc w:val="both"/>
        <w:rPr>
          <w:rFonts w:ascii="Times New Roman" w:hAnsi="Times New Roman" w:cs="Times New Roman"/>
        </w:rPr>
      </w:pPr>
      <w:r>
        <w:t>Informațiile despre mecanismul de soluționare a reclamațiilor vor fi disponibile pe platforma online și vor fi incluse în comunicările efectuate cu părțile interesate ale proiectului prin metodele și instrumentele de comunicare care fac parte din acest plan de implicare a părților interesate și din planul de comunicare din cadrul proiectului, inclusiv e-mailuri, site-uri web, ateliere, reuniuni, consultări etc.</w:t>
      </w:r>
    </w:p>
    <w:p w14:paraId="08D41DDF">
      <w:pPr>
        <w:spacing w:line="276" w:lineRule="auto"/>
        <w:jc w:val="both"/>
        <w:rPr>
          <w:rFonts w:ascii="Times New Roman" w:hAnsi="Times New Roman" w:cs="Times New Roman"/>
        </w:rPr>
      </w:pPr>
    </w:p>
    <w:p w14:paraId="4C8A9E7F">
      <w:pPr>
        <w:pStyle w:val="59"/>
        <w:rPr>
          <w:rFonts w:ascii="Times New Roman" w:hAnsi="Times New Roman" w:cs="Times New Roman"/>
        </w:rPr>
      </w:pPr>
      <w:r>
        <w:t xml:space="preserve">Punctele focale SRA/MCS GRM vor instrui alți membri ai echipei și departamente cu privire la aceste procese și principii de tratare a reclamațiilor.   </w:t>
      </w:r>
    </w:p>
    <w:p w14:paraId="029AB425">
      <w:pPr>
        <w:spacing w:line="276" w:lineRule="auto"/>
        <w:jc w:val="both"/>
        <w:rPr>
          <w:rFonts w:ascii="Times New Roman" w:hAnsi="Times New Roman" w:cs="Times New Roman"/>
        </w:rPr>
      </w:pPr>
    </w:p>
    <w:p w14:paraId="094C0F11">
      <w:pPr>
        <w:spacing w:line="276" w:lineRule="auto"/>
        <w:jc w:val="both"/>
        <w:rPr>
          <w:rFonts w:ascii="Times New Roman" w:hAnsi="Times New Roman" w:cs="Times New Roman"/>
        </w:rPr>
      </w:pPr>
    </w:p>
    <w:p w14:paraId="061075DC">
      <w:pPr>
        <w:spacing w:line="276" w:lineRule="auto"/>
        <w:jc w:val="both"/>
        <w:rPr>
          <w:rFonts w:ascii="Times New Roman" w:hAnsi="Times New Roman" w:cs="Times New Roman"/>
        </w:rPr>
      </w:pPr>
    </w:p>
    <w:p w14:paraId="1D6771A4">
      <w:pPr>
        <w:spacing w:line="276" w:lineRule="auto"/>
        <w:jc w:val="both"/>
        <w:rPr>
          <w:rFonts w:ascii="Times New Roman" w:hAnsi="Times New Roman" w:cs="Times New Roman"/>
        </w:rPr>
      </w:pPr>
    </w:p>
    <w:p w14:paraId="03FD90CA">
      <w:pPr>
        <w:pStyle w:val="3"/>
        <w:spacing w:before="0" w:line="276" w:lineRule="auto"/>
        <w:rPr>
          <w:rFonts w:hint="default" w:ascii="Times New Roman" w:hAnsi="Times New Roman" w:eastAsia="Times New Roman" w:cs="Times New Roman"/>
          <w:sz w:val="22"/>
          <w:szCs w:val="22"/>
          <w:lang w:val="ro-RO"/>
        </w:rPr>
      </w:pPr>
      <w:bookmarkStart w:id="13" w:name="_Toc184883431"/>
      <w:sdt>
        <w:sdtPr>
          <w:rPr>
            <w:rFonts w:ascii="Times New Roman" w:hAnsi="Times New Roman" w:cs="Times New Roman"/>
            <w:sz w:val="22"/>
            <w:szCs w:val="22"/>
          </w:rPr>
          <w:tag w:val="goog_rdk_152"/>
          <w:id w:val="-328978462"/>
        </w:sdtPr>
        <w:sdtEndPr>
          <w:rPr>
            <w:rFonts w:ascii="Times New Roman" w:hAnsi="Times New Roman" w:cs="Times New Roman"/>
            <w:sz w:val="22"/>
            <w:szCs w:val="22"/>
          </w:rPr>
        </w:sdtEndPr>
        <w:sdtContent>
          <w:sdt>
            <w:sdtPr>
              <w:rPr>
                <w:rFonts w:ascii="Times New Roman" w:hAnsi="Times New Roman" w:cs="Times New Roman"/>
                <w:sz w:val="22"/>
                <w:szCs w:val="22"/>
              </w:rPr>
              <w:tag w:val="goog_rdk_151"/>
              <w:id w:val="1671599129"/>
            </w:sdtPr>
            <w:sdtEndPr>
              <w:rPr>
                <w:rFonts w:ascii="Times New Roman" w:hAnsi="Times New Roman" w:cs="Times New Roman"/>
                <w:sz w:val="22"/>
                <w:szCs w:val="22"/>
              </w:rPr>
            </w:sdtEndPr>
            <w:sdtContent/>
          </w:sdt>
        </w:sdtContent>
      </w:sdt>
      <w:bookmarkStart w:id="14" w:name="_heading=h.tyjcwt" w:colFirst="0" w:colLast="0"/>
      <w:bookmarkEnd w:id="14"/>
      <w:r>
        <w:rPr>
          <w:rFonts w:ascii="Times New Roman" w:hAnsi="Times New Roman" w:eastAsia="Times New Roman" w:cs="Times New Roman"/>
          <w:sz w:val="22"/>
          <w:szCs w:val="22"/>
        </w:rPr>
        <w:t xml:space="preserve">Monitorizarea și raportarea cu privire la punerea în aplicare a </w:t>
      </w:r>
      <w:bookmarkEnd w:id="13"/>
      <w:r>
        <w:rPr>
          <w:rFonts w:hint="default" w:ascii="Times New Roman" w:hAnsi="Times New Roman" w:eastAsia="Times New Roman" w:cs="Times New Roman"/>
          <w:sz w:val="22"/>
          <w:szCs w:val="22"/>
          <w:lang w:val="ro-RO"/>
        </w:rPr>
        <w:t>GRM</w:t>
      </w:r>
    </w:p>
    <w:p w14:paraId="1F05F3D7">
      <w:pPr>
        <w:spacing w:line="276" w:lineRule="auto"/>
        <w:jc w:val="both"/>
        <w:rPr>
          <w:rFonts w:ascii="Times New Roman" w:hAnsi="Times New Roman" w:cs="Times New Roman"/>
        </w:rPr>
      </w:pPr>
      <w:sdt>
        <w:sdtPr>
          <w:rPr>
            <w:rFonts w:ascii="Times New Roman" w:hAnsi="Times New Roman" w:cs="Times New Roman"/>
          </w:rPr>
          <w:tag w:val="goog_rdk_155"/>
          <w:id w:val="-238256112"/>
        </w:sdtPr>
        <w:sdtEndPr>
          <w:rPr>
            <w:rFonts w:ascii="Times New Roman" w:hAnsi="Times New Roman" w:cs="Times New Roman"/>
          </w:rPr>
        </w:sdtEndPr>
        <w:sdtContent>
          <w:sdt>
            <w:sdtPr>
              <w:rPr>
                <w:rFonts w:ascii="Times New Roman" w:hAnsi="Times New Roman" w:cs="Times New Roman"/>
              </w:rPr>
              <w:tag w:val="goog_rdk_154"/>
              <w:id w:val="952677164"/>
            </w:sdtPr>
            <w:sdtEndPr>
              <w:rPr>
                <w:rFonts w:ascii="Times New Roman" w:hAnsi="Times New Roman" w:cs="Times New Roman"/>
              </w:rPr>
            </w:sdtEndPr>
            <w:sdtContent/>
          </w:sdt>
        </w:sdtContent>
      </w:sdt>
      <w:r>
        <w:rPr>
          <w:rFonts w:ascii="Times New Roman" w:hAnsi="Times New Roman" w:cs="Times New Roman"/>
        </w:rPr>
        <w:t xml:space="preserve">Politicile, procedurile și actualizările periodice ale sistemului GRM vor fi puse la dispoziția tuturor părților interesate. Punctele focale GRM vor urmări și monitoriza periodic stadiul plângerilor pentru a se asigura că toate plângerile sunt soluționate în termenul stabilit. </w:t>
      </w:r>
    </w:p>
    <w:p w14:paraId="42684D71">
      <w:pPr>
        <w:spacing w:line="276" w:lineRule="auto"/>
        <w:jc w:val="both"/>
        <w:rPr>
          <w:rFonts w:ascii="Times New Roman" w:hAnsi="Times New Roman" w:cs="Times New Roman"/>
        </w:rPr>
      </w:pPr>
    </w:p>
    <w:p w14:paraId="366FD170">
      <w:pPr>
        <w:pStyle w:val="59"/>
        <w:spacing w:line="276" w:lineRule="auto"/>
        <w:jc w:val="both"/>
        <w:rPr>
          <w:rFonts w:ascii="Times New Roman" w:hAnsi="Times New Roman" w:cs="Times New Roman"/>
        </w:rPr>
      </w:pPr>
      <w:r>
        <w:t xml:space="preserve">SRA este responsabilă de integrarea și consolidarea tuturor plângerilor legate de proiecte primite într-un singur raport de la toate canalele și nivelurile, care să fie transmis periodic Băncii Mondiale, astfel cum se prevede în </w:t>
      </w:r>
      <w:r>
        <w:rPr>
          <w:rFonts w:hint="default"/>
          <w:lang w:val="ro-RO"/>
        </w:rPr>
        <w:t>ESCP</w:t>
      </w:r>
      <w:r>
        <w:t xml:space="preserve">.   Punctul focal MCS va pregăti rapoarte periodice cu privire la </w:t>
      </w:r>
      <w:r>
        <w:rPr>
          <w:rFonts w:hint="default"/>
          <w:lang w:val="ro-RO"/>
        </w:rPr>
        <w:t>GRM</w:t>
      </w:r>
      <w:r>
        <w:t xml:space="preserve"> și le va transmite </w:t>
      </w:r>
      <w:r>
        <w:rPr>
          <w:rFonts w:hint="default"/>
          <w:lang w:val="ro-RO"/>
        </w:rPr>
        <w:t>SRA.</w:t>
      </w:r>
      <w:r>
        <w:t xml:space="preserve">.  </w:t>
      </w:r>
    </w:p>
    <w:p w14:paraId="7AC28EB3">
      <w:pPr>
        <w:spacing w:line="276" w:lineRule="auto"/>
        <w:jc w:val="both"/>
        <w:rPr>
          <w:rFonts w:ascii="Times New Roman" w:hAnsi="Times New Roman" w:cs="Times New Roman"/>
        </w:rPr>
      </w:pPr>
    </w:p>
    <w:p w14:paraId="14E96124">
      <w:pPr>
        <w:pStyle w:val="59"/>
        <w:spacing w:line="276" w:lineRule="auto"/>
        <w:jc w:val="both"/>
        <w:rPr>
          <w:rFonts w:ascii="Times New Roman" w:hAnsi="Times New Roman" w:cs="Times New Roman"/>
        </w:rPr>
      </w:pPr>
      <w:r>
        <w:t xml:space="preserve">Agențiile respective vor publica, de asemenea, rapoarte pentru toate părțile interesate.  Rapoartele vor conține următoarele informații:   </w:t>
      </w:r>
    </w:p>
    <w:p w14:paraId="58405C25">
      <w:pPr>
        <w:pStyle w:val="61"/>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t>Statutul înființării GRM (proceduri, personal, acțiuni de sensibilizare etc.)</w:t>
      </w:r>
    </w:p>
    <w:p w14:paraId="381BEEE1">
      <w:pPr>
        <w:pStyle w:val="61"/>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t xml:space="preserve">date cantitative privind numărul de plângeri primite, numărul de plângeri relevante și numărul de plângeri soluționate; </w:t>
      </w:r>
    </w:p>
    <w:p w14:paraId="22A7F5BF">
      <w:pPr>
        <w:pStyle w:val="61"/>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t>Date calitative privind tipul de reclamații și răspunsuri furnizate, probleme nerezolvate;</w:t>
      </w:r>
    </w:p>
    <w:p w14:paraId="208B6938">
      <w:pPr>
        <w:pStyle w:val="61"/>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t>timpul necesar pentru soluționarea plângerilor;</w:t>
      </w:r>
    </w:p>
    <w:p w14:paraId="1F50521A">
      <w:pPr>
        <w:pStyle w:val="61"/>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t xml:space="preserve">orice probleme cu care se confruntă procedurile/personalul sau utilizarea; </w:t>
      </w:r>
    </w:p>
    <w:p w14:paraId="676A713B">
      <w:pPr>
        <w:pStyle w:val="61"/>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t xml:space="preserve">Factori care pot afecta utilizarea sistemului de feedback GRM/beneficiar; </w:t>
      </w:r>
    </w:p>
    <w:p w14:paraId="7986D0B4">
      <w:pPr>
        <w:pStyle w:val="61"/>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t>Orice măsuri corective sugerate/adoptate și satisfacția reclamanților.</w:t>
      </w:r>
    </w:p>
    <w:p w14:paraId="4401754A">
      <w:pPr>
        <w:spacing w:line="276" w:lineRule="auto"/>
        <w:jc w:val="both"/>
        <w:rPr>
          <w:rFonts w:ascii="Times New Roman" w:hAnsi="Times New Roman" w:cs="Times New Roman"/>
        </w:rPr>
      </w:pPr>
    </w:p>
    <w:p w14:paraId="06FD60F1">
      <w:pPr>
        <w:pStyle w:val="59"/>
        <w:spacing w:line="276" w:lineRule="auto"/>
        <w:jc w:val="both"/>
        <w:rPr>
          <w:rFonts w:ascii="Times New Roman" w:hAnsi="Times New Roman" w:cs="Times New Roman"/>
        </w:rPr>
      </w:pPr>
      <w:r>
        <w:t>GRM la nivel de proiect va fi menținut pe întreaga perioadă de implementare a proiectului. GRM se va asigura că toate părțile interesate pot fi implicate în mod eficient în conceperea, punerea în aplicare a proiectului, va oferi personalului proiectului sugestii practice/feedback cu privire la activitățile proiectului, permițându-le să fie mai responsabile, mai transparente și mai receptive.</w:t>
      </w:r>
    </w:p>
    <w:p w14:paraId="417CB4D9">
      <w:pPr>
        <w:spacing w:line="276" w:lineRule="auto"/>
        <w:jc w:val="both"/>
        <w:rPr>
          <w:rFonts w:ascii="Times New Roman" w:hAnsi="Times New Roman" w:cs="Times New Roman"/>
        </w:rPr>
      </w:pPr>
    </w:p>
    <w:p w14:paraId="6832C49E">
      <w:pPr>
        <w:pStyle w:val="59"/>
        <w:rPr>
          <w:rFonts w:ascii="Times New Roman" w:hAnsi="Times New Roman" w:cs="Times New Roman"/>
        </w:rPr>
      </w:pPr>
      <w:r>
        <w:t>Punctele focale SRA / MCS vor pregăti rapoarte periodice pentru a analiza tendințele, pentru a identifica problemele sistemice și pentru a sugera îmbunătățiri ale procesului de tratare a reclamațiilor.</w:t>
      </w:r>
    </w:p>
    <w:p w14:paraId="7EADCECA"/>
    <w:p w14:paraId="78C73C34"/>
    <w:p w14:paraId="52CE3964">
      <w:pPr>
        <w:autoSpaceDE w:val="0"/>
        <w:autoSpaceDN w:val="0"/>
        <w:adjustRightInd w:val="0"/>
        <w:spacing w:after="0" w:line="276" w:lineRule="auto"/>
        <w:jc w:val="both"/>
        <w:rPr>
          <w:rFonts w:ascii="Times New Roman" w:hAnsi="Times New Roman" w:cs="Times New Roman"/>
          <w:b/>
          <w:bCs/>
          <w:color w:val="000000"/>
        </w:rPr>
      </w:pPr>
    </w:p>
    <w:p w14:paraId="60304B16">
      <w:pPr>
        <w:pStyle w:val="61"/>
        <w:autoSpaceDE w:val="0"/>
        <w:autoSpaceDN w:val="0"/>
        <w:adjustRightInd w:val="0"/>
        <w:spacing w:after="0" w:line="276" w:lineRule="auto"/>
        <w:jc w:val="both"/>
        <w:rPr>
          <w:rFonts w:ascii="Times New Roman" w:hAnsi="Times New Roman" w:cs="Times New Roman"/>
          <w:color w:val="000000"/>
        </w:rPr>
      </w:pPr>
      <w:r>
        <w:rPr>
          <w:b/>
        </w:rPr>
        <w:t>Proiectul de extindere a Platformei</w:t>
      </w:r>
      <w:r>
        <w:rPr>
          <w:rFonts w:hint="default"/>
          <w:b/>
          <w:lang w:val="ro-RO"/>
        </w:rPr>
        <w:t xml:space="preserve"> ZCV</w:t>
      </w:r>
      <w:r>
        <w:rPr>
          <w:b/>
        </w:rPr>
        <w:t xml:space="preserve"> Giurgiulești</w:t>
      </w:r>
      <w:r>
        <w:t xml:space="preserve"> este o inițiativă esențială de îmbunătățire a infrastructurii, menită să consolideze capacitatea comercială a Moldovei. Proiectul se aliniază la standardele de mediu, sociale și de reglementare, asigurând dezvoltarea durabilă, atenuând în același timp riscurile potențiale. Punerea în aplicare a unor strategii cuprinzătoare de atenuare și monitorizare va contribui la un proces vamal mai sigur și mai eficient, protejând în același timp mediul și comunitățile locale.</w:t>
      </w:r>
    </w:p>
    <w:p w14:paraId="37BD7012">
      <w:pPr>
        <w:autoSpaceDE w:val="0"/>
        <w:autoSpaceDN w:val="0"/>
        <w:adjustRightInd w:val="0"/>
        <w:spacing w:after="0" w:line="276" w:lineRule="auto"/>
        <w:jc w:val="both"/>
        <w:rPr>
          <w:rFonts w:ascii="Times New Roman" w:hAnsi="Times New Roman" w:cs="Times New Roman"/>
          <w:color w:val="000000"/>
        </w:rPr>
      </w:pPr>
      <w:bookmarkStart w:id="15" w:name="_Hlk197897511"/>
    </w:p>
    <w:p w14:paraId="4750AB5A">
      <w:pPr>
        <w:autoSpaceDE w:val="0"/>
        <w:autoSpaceDN w:val="0"/>
        <w:adjustRightInd w:val="0"/>
        <w:spacing w:after="0" w:line="276" w:lineRule="auto"/>
        <w:jc w:val="both"/>
        <w:rPr>
          <w:rFonts w:ascii="Times New Roman" w:hAnsi="Times New Roman" w:cs="Times New Roman"/>
          <w:color w:val="000000"/>
        </w:r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1E4F5" w:themeFill="accent1" w:themeFillTint="33"/>
        <w:tblLayout w:type="autofit"/>
        <w:tblCellMar>
          <w:top w:w="0" w:type="dxa"/>
          <w:left w:w="108" w:type="dxa"/>
          <w:bottom w:w="0" w:type="dxa"/>
          <w:right w:w="108" w:type="dxa"/>
        </w:tblCellMar>
      </w:tblPr>
      <w:tblGrid>
        <w:gridCol w:w="9350"/>
      </w:tblGrid>
      <w:tr w14:paraId="7C70C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50" w:type="dxa"/>
            <w:shd w:val="clear" w:color="auto" w:fill="C1E4F5" w:themeFill="accent1" w:themeFillTint="33"/>
          </w:tcPr>
          <w:p w14:paraId="7CCA6AD1">
            <w:pPr>
              <w:pStyle w:val="68"/>
              <w:autoSpaceDE w:val="0"/>
              <w:autoSpaceDN w:val="0"/>
              <w:adjustRightInd w:val="0"/>
              <w:spacing w:after="160" w:line="360" w:lineRule="auto"/>
              <w:jc w:val="center"/>
              <w:rPr>
                <w:rFonts w:ascii="Times New Roman" w:hAnsi="Times New Roman" w:cs="Times New Roman"/>
                <w:color w:val="000000"/>
              </w:rPr>
            </w:pPr>
            <w:r>
              <w:t>Listă de verificare ESMP specifică sitului pentru activitățile de lucrări la scară mică</w:t>
            </w:r>
          </w:p>
        </w:tc>
      </w:tr>
    </w:tbl>
    <w:p w14:paraId="0E72D427">
      <w:pPr>
        <w:autoSpaceDE w:val="0"/>
        <w:autoSpaceDN w:val="0"/>
        <w:adjustRightInd w:val="0"/>
        <w:spacing w:after="0" w:line="276" w:lineRule="auto"/>
        <w:jc w:val="both"/>
        <w:rPr>
          <w:rFonts w:ascii="Times New Roman" w:hAnsi="Times New Roman" w:cs="Times New Roman"/>
          <w:color w:val="000000"/>
        </w:r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3"/>
        <w:gridCol w:w="2016"/>
        <w:gridCol w:w="2900"/>
        <w:gridCol w:w="1428"/>
        <w:gridCol w:w="1449"/>
      </w:tblGrid>
      <w:tr w14:paraId="3FACB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gridSpan w:val="5"/>
          </w:tcPr>
          <w:p w14:paraId="6641A239">
            <w:pPr>
              <w:pStyle w:val="68"/>
              <w:autoSpaceDE w:val="0"/>
              <w:autoSpaceDN w:val="0"/>
              <w:adjustRightInd w:val="0"/>
              <w:spacing w:after="0" w:line="276" w:lineRule="auto"/>
              <w:jc w:val="both"/>
              <w:rPr>
                <w:rFonts w:ascii="Times New Roman" w:hAnsi="Times New Roman" w:cs="Times New Roman"/>
                <w:b/>
                <w:bCs/>
                <w:color w:val="000000"/>
              </w:rPr>
            </w:pPr>
            <w:r>
              <w:t>PARTEA 1: INSTITUȚIONALĂ ȘI ADMINISTRATIVĂ</w:t>
            </w:r>
          </w:p>
          <w:p w14:paraId="7EF95E89">
            <w:pPr>
              <w:autoSpaceDE w:val="0"/>
              <w:autoSpaceDN w:val="0"/>
              <w:adjustRightInd w:val="0"/>
              <w:spacing w:after="0" w:line="276" w:lineRule="auto"/>
              <w:jc w:val="both"/>
              <w:rPr>
                <w:rFonts w:ascii="Times New Roman" w:hAnsi="Times New Roman" w:cs="Times New Roman"/>
                <w:color w:val="000000"/>
              </w:rPr>
            </w:pPr>
          </w:p>
        </w:tc>
      </w:tr>
      <w:tr w14:paraId="46085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609AA42F">
            <w:pPr>
              <w:pStyle w:val="61"/>
              <w:autoSpaceDE w:val="0"/>
              <w:autoSpaceDN w:val="0"/>
              <w:adjustRightInd w:val="0"/>
              <w:spacing w:after="0" w:line="276" w:lineRule="auto"/>
              <w:jc w:val="both"/>
              <w:rPr>
                <w:rFonts w:ascii="Times New Roman" w:hAnsi="Times New Roman" w:cs="Times New Roman"/>
                <w:color w:val="000000"/>
              </w:rPr>
            </w:pPr>
            <w:r>
              <w:t>Țara/orașul/regiunea</w:t>
            </w:r>
          </w:p>
        </w:tc>
        <w:tc>
          <w:tcPr>
            <w:tcW w:w="6283" w:type="dxa"/>
            <w:gridSpan w:val="4"/>
          </w:tcPr>
          <w:p w14:paraId="27997ACA">
            <w:pPr>
              <w:pStyle w:val="61"/>
              <w:autoSpaceDE w:val="0"/>
              <w:autoSpaceDN w:val="0"/>
              <w:adjustRightInd w:val="0"/>
              <w:spacing w:after="0" w:line="276" w:lineRule="auto"/>
              <w:jc w:val="both"/>
              <w:rPr>
                <w:rFonts w:ascii="Times New Roman" w:hAnsi="Times New Roman" w:cs="Times New Roman"/>
                <w:color w:val="000000"/>
              </w:rPr>
            </w:pPr>
            <w:r>
              <w:t>Republica Moldova / raionul Cahul / satul Giurgiulești</w:t>
            </w:r>
          </w:p>
        </w:tc>
      </w:tr>
      <w:tr w14:paraId="5C3B3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490F95DE">
            <w:pPr>
              <w:pStyle w:val="61"/>
              <w:autoSpaceDE w:val="0"/>
              <w:autoSpaceDN w:val="0"/>
              <w:adjustRightInd w:val="0"/>
              <w:spacing w:after="0" w:line="276" w:lineRule="auto"/>
              <w:jc w:val="both"/>
              <w:rPr>
                <w:rFonts w:ascii="Times New Roman" w:hAnsi="Times New Roman" w:cs="Times New Roman"/>
                <w:color w:val="000000"/>
              </w:rPr>
            </w:pPr>
            <w:r>
              <w:t>Titlul proiectului</w:t>
            </w:r>
          </w:p>
        </w:tc>
        <w:tc>
          <w:tcPr>
            <w:tcW w:w="6283" w:type="dxa"/>
            <w:gridSpan w:val="4"/>
          </w:tcPr>
          <w:p w14:paraId="75F53D3D">
            <w:pPr>
              <w:pStyle w:val="57"/>
              <w:autoSpaceDE w:val="0"/>
              <w:autoSpaceDN w:val="0"/>
              <w:adjustRightInd w:val="0"/>
              <w:spacing w:after="0" w:line="276" w:lineRule="auto"/>
              <w:jc w:val="both"/>
              <w:rPr>
                <w:rFonts w:ascii="Times New Roman" w:hAnsi="Times New Roman" w:cs="Times New Roman"/>
                <w:color w:val="000000"/>
              </w:rPr>
            </w:pPr>
            <w:r>
              <w:t xml:space="preserve">Proiectul Conectivitate Rurală </w:t>
            </w:r>
            <w:r>
              <w:rPr>
                <w:rFonts w:hint="default"/>
                <w:lang w:val="ro-RO"/>
              </w:rPr>
              <w:t xml:space="preserve">în </w:t>
            </w:r>
            <w:r>
              <w:t>Moldova</w:t>
            </w:r>
          </w:p>
        </w:tc>
      </w:tr>
      <w:tr w14:paraId="395F3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6645464C">
            <w:pPr>
              <w:pStyle w:val="61"/>
              <w:autoSpaceDE w:val="0"/>
              <w:autoSpaceDN w:val="0"/>
              <w:adjustRightInd w:val="0"/>
              <w:spacing w:after="0" w:line="276" w:lineRule="auto"/>
              <w:jc w:val="both"/>
              <w:rPr>
                <w:rFonts w:ascii="Times New Roman" w:hAnsi="Times New Roman" w:cs="Times New Roman"/>
                <w:color w:val="000000"/>
              </w:rPr>
            </w:pPr>
            <w:r>
              <w:t>Domeniul de aplicare al proiectului și al activității</w:t>
            </w:r>
          </w:p>
        </w:tc>
        <w:tc>
          <w:tcPr>
            <w:tcW w:w="6283" w:type="dxa"/>
            <w:gridSpan w:val="4"/>
          </w:tcPr>
          <w:p w14:paraId="4643E9E7">
            <w:pPr>
              <w:pStyle w:val="59"/>
              <w:spacing w:after="0" w:line="276" w:lineRule="auto"/>
              <w:rPr>
                <w:rFonts w:ascii="Times New Roman" w:hAnsi="Times New Roman" w:cs="Times New Roman"/>
                <w:bCs/>
                <w:iCs/>
              </w:rPr>
            </w:pPr>
            <w:r>
              <w:t xml:space="preserve">Componenta B: Facilitarea comerțului și extinderea culoarelor de solidaritate (puncte de trecere a frontierei). </w:t>
            </w:r>
            <w:r>
              <w:rPr>
                <w:rFonts w:hint="default"/>
              </w:rPr>
              <w:t>EXTINDEREA/DEZVOLTAREA ZONEI DE CONTROL VAMAL GIURGIULEȘTI EXISTENTE (MD)</w:t>
            </w:r>
            <w:r>
              <w:t xml:space="preserve"> </w:t>
            </w:r>
          </w:p>
          <w:p w14:paraId="0AA6BAF6">
            <w:pPr>
              <w:autoSpaceDE w:val="0"/>
              <w:autoSpaceDN w:val="0"/>
              <w:adjustRightInd w:val="0"/>
              <w:spacing w:after="0" w:line="276" w:lineRule="auto"/>
              <w:jc w:val="both"/>
              <w:rPr>
                <w:rFonts w:ascii="Times New Roman" w:hAnsi="Times New Roman" w:cs="Times New Roman"/>
                <w:bCs/>
                <w:color w:val="000000"/>
              </w:rPr>
            </w:pPr>
          </w:p>
        </w:tc>
      </w:tr>
      <w:tr w14:paraId="5DED9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1401B089">
            <w:pPr>
              <w:pStyle w:val="61"/>
              <w:autoSpaceDE w:val="0"/>
              <w:autoSpaceDN w:val="0"/>
              <w:adjustRightInd w:val="0"/>
              <w:spacing w:after="0" w:line="276" w:lineRule="auto"/>
              <w:rPr>
                <w:rFonts w:ascii="Times New Roman" w:hAnsi="Times New Roman" w:cs="Times New Roman"/>
                <w:color w:val="000000"/>
              </w:rPr>
            </w:pPr>
            <w:r>
              <w:t>Aranjamente instituționale (nume și contacte)</w:t>
            </w:r>
          </w:p>
        </w:tc>
        <w:tc>
          <w:tcPr>
            <w:tcW w:w="1714" w:type="dxa"/>
          </w:tcPr>
          <w:p w14:paraId="20C6B79A">
            <w:pPr>
              <w:pStyle w:val="61"/>
              <w:autoSpaceDE w:val="0"/>
              <w:autoSpaceDN w:val="0"/>
              <w:adjustRightInd w:val="0"/>
              <w:spacing w:after="0" w:line="276" w:lineRule="auto"/>
              <w:rPr>
                <w:rFonts w:ascii="Times New Roman" w:hAnsi="Times New Roman" w:cs="Times New Roman"/>
                <w:color w:val="000000"/>
              </w:rPr>
            </w:pPr>
            <w:r>
              <w:t xml:space="preserve">Coordonator de proiect BM </w:t>
            </w:r>
          </w:p>
          <w:p w14:paraId="6AE46E98">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 xml:space="preserve">Mesfin Wodajo Jijo, </w:t>
            </w:r>
            <w:r>
              <w:fldChar w:fldCharType="begin"/>
            </w:r>
            <w:r>
              <w:instrText xml:space="preserve"> HYPERLINK "mailto:mjijo@worldbank.org" </w:instrText>
            </w:r>
            <w:r>
              <w:fldChar w:fldCharType="separate"/>
            </w:r>
            <w:r>
              <w:rPr>
                <w:rStyle w:val="21"/>
                <w:rFonts w:ascii="Times New Roman" w:hAnsi="Times New Roman" w:cs="Times New Roman"/>
              </w:rPr>
              <w:t>mjijo@worldbank.org</w:t>
            </w:r>
            <w:r>
              <w:rPr>
                <w:rStyle w:val="21"/>
                <w:rFonts w:ascii="Times New Roman" w:hAnsi="Times New Roman" w:cs="Times New Roman"/>
              </w:rPr>
              <w:fldChar w:fldCharType="end"/>
            </w:r>
            <w:r>
              <w:rPr>
                <w:rFonts w:ascii="Times New Roman" w:hAnsi="Times New Roman" w:cs="Times New Roman"/>
                <w:color w:val="000000"/>
              </w:rPr>
              <w:t xml:space="preserve"> / </w:t>
            </w:r>
          </w:p>
          <w:p w14:paraId="1FDE46D2">
            <w:pPr>
              <w:pStyle w:val="61"/>
              <w:autoSpaceDE w:val="0"/>
              <w:autoSpaceDN w:val="0"/>
              <w:adjustRightInd w:val="0"/>
              <w:spacing w:after="0" w:line="276" w:lineRule="auto"/>
              <w:rPr>
                <w:rFonts w:ascii="Times New Roman" w:hAnsi="Times New Roman" w:cs="Times New Roman"/>
                <w:color w:val="000000"/>
              </w:rPr>
            </w:pPr>
            <w:r>
              <w:t>Elena Lungu, elungu@worldbank.org</w:t>
            </w:r>
          </w:p>
        </w:tc>
        <w:tc>
          <w:tcPr>
            <w:tcW w:w="1996" w:type="dxa"/>
          </w:tcPr>
          <w:p w14:paraId="3AFE74DD">
            <w:pPr>
              <w:pStyle w:val="61"/>
              <w:autoSpaceDE w:val="0"/>
              <w:autoSpaceDN w:val="0"/>
              <w:adjustRightInd w:val="0"/>
              <w:spacing w:after="160" w:line="276" w:lineRule="auto"/>
              <w:jc w:val="both"/>
              <w:rPr>
                <w:rFonts w:ascii="Times New Roman" w:hAnsi="Times New Roman" w:cs="Times New Roman"/>
                <w:color w:val="000000"/>
              </w:rPr>
            </w:pPr>
            <w:r>
              <w:t xml:space="preserve">Managementul de proiect </w:t>
            </w:r>
          </w:p>
          <w:p w14:paraId="1E3A9524">
            <w:pPr>
              <w:pStyle w:val="61"/>
              <w:autoSpaceDE w:val="0"/>
              <w:autoSpaceDN w:val="0"/>
              <w:adjustRightInd w:val="0"/>
              <w:spacing w:after="160" w:line="276" w:lineRule="auto"/>
              <w:jc w:val="both"/>
              <w:rPr>
                <w:rFonts w:ascii="Times New Roman" w:hAnsi="Times New Roman" w:cs="Times New Roman"/>
                <w:color w:val="000000"/>
              </w:rPr>
            </w:pPr>
            <w:r>
              <w:t>Corneliu Croitoru,</w:t>
            </w:r>
          </w:p>
          <w:p w14:paraId="2D4FB1F8">
            <w:pPr>
              <w:autoSpaceDE w:val="0"/>
              <w:autoSpaceDN w:val="0"/>
              <w:adjustRightInd w:val="0"/>
              <w:spacing w:after="160" w:line="276" w:lineRule="auto"/>
              <w:jc w:val="both"/>
              <w:rPr>
                <w:rFonts w:ascii="Times New Roman" w:hAnsi="Times New Roman" w:cs="Times New Roman"/>
                <w:color w:val="000000"/>
              </w:rPr>
            </w:pPr>
            <w:r>
              <w:fldChar w:fldCharType="begin"/>
            </w:r>
            <w:r>
              <w:instrText xml:space="preserve"> HYPERLINK "mailto:corneliu.croitoru@customs.gov.md" </w:instrText>
            </w:r>
            <w:r>
              <w:fldChar w:fldCharType="separate"/>
            </w:r>
            <w:r>
              <w:rPr>
                <w:rStyle w:val="21"/>
                <w:rFonts w:ascii="Times New Roman" w:hAnsi="Times New Roman" w:cs="Times New Roman"/>
              </w:rPr>
              <w:t>corneliu.croitoru@customs.gov.md</w:t>
            </w:r>
            <w:r>
              <w:rPr>
                <w:rStyle w:val="21"/>
                <w:rFonts w:ascii="Times New Roman" w:hAnsi="Times New Roman" w:cs="Times New Roman"/>
              </w:rPr>
              <w:fldChar w:fldCharType="end"/>
            </w:r>
            <w:r>
              <w:rPr>
                <w:rFonts w:ascii="Times New Roman" w:hAnsi="Times New Roman" w:cs="Times New Roman"/>
                <w:color w:val="000000"/>
              </w:rPr>
              <w:t xml:space="preserve"> </w:t>
            </w:r>
          </w:p>
        </w:tc>
        <w:tc>
          <w:tcPr>
            <w:tcW w:w="2573" w:type="dxa"/>
            <w:gridSpan w:val="2"/>
          </w:tcPr>
          <w:p w14:paraId="54F33BDA">
            <w:pPr>
              <w:pStyle w:val="61"/>
              <w:autoSpaceDE w:val="0"/>
              <w:autoSpaceDN w:val="0"/>
              <w:adjustRightInd w:val="0"/>
              <w:spacing w:after="160" w:line="276" w:lineRule="auto"/>
              <w:jc w:val="both"/>
              <w:rPr>
                <w:rFonts w:ascii="Times New Roman" w:hAnsi="Times New Roman" w:cs="Times New Roman"/>
                <w:color w:val="000000"/>
              </w:rPr>
            </w:pPr>
            <w:r>
              <w:t xml:space="preserve">Contrapartida locală și/sau destinatarul </w:t>
            </w:r>
          </w:p>
          <w:p w14:paraId="0F647C6E">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 xml:space="preserve">Tatiana Trofimov, </w:t>
            </w:r>
            <w:r>
              <w:fldChar w:fldCharType="begin"/>
            </w:r>
            <w:r>
              <w:instrText xml:space="preserve"> HYPERLINK "mailto:tatiana.trofimov@customs.gov.md" </w:instrText>
            </w:r>
            <w:r>
              <w:fldChar w:fldCharType="separate"/>
            </w:r>
            <w:r>
              <w:rPr>
                <w:rStyle w:val="21"/>
                <w:rFonts w:ascii="Times New Roman" w:hAnsi="Times New Roman" w:cs="Times New Roman"/>
              </w:rPr>
              <w:t>tatiana.trofimov@customs.gov.md</w:t>
            </w:r>
            <w:r>
              <w:rPr>
                <w:rStyle w:val="21"/>
                <w:rFonts w:ascii="Times New Roman" w:hAnsi="Times New Roman" w:cs="Times New Roman"/>
              </w:rPr>
              <w:fldChar w:fldCharType="end"/>
            </w:r>
            <w:r>
              <w:rPr>
                <w:rFonts w:ascii="Times New Roman" w:hAnsi="Times New Roman" w:cs="Times New Roman"/>
                <w:color w:val="000000"/>
              </w:rPr>
              <w:t xml:space="preserve"> </w:t>
            </w:r>
          </w:p>
          <w:p w14:paraId="656B3C1A">
            <w:pPr>
              <w:pStyle w:val="61"/>
              <w:autoSpaceDE w:val="0"/>
              <w:autoSpaceDN w:val="0"/>
              <w:adjustRightInd w:val="0"/>
              <w:spacing w:after="160" w:line="276" w:lineRule="auto"/>
              <w:jc w:val="both"/>
              <w:rPr>
                <w:rFonts w:ascii="Times New Roman" w:hAnsi="Times New Roman" w:cs="Times New Roman"/>
                <w:color w:val="000000"/>
              </w:rPr>
            </w:pPr>
            <w:r>
              <w:t>Veaceslav Vladicescu, v.vladicescu@gmail.com</w:t>
            </w:r>
          </w:p>
        </w:tc>
      </w:tr>
      <w:tr w14:paraId="7A10D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1" w:hRule="atLeast"/>
        </w:trPr>
        <w:tc>
          <w:tcPr>
            <w:tcW w:w="3067" w:type="dxa"/>
          </w:tcPr>
          <w:p w14:paraId="7EB18DEB">
            <w:pPr>
              <w:pStyle w:val="61"/>
              <w:autoSpaceDE w:val="0"/>
              <w:autoSpaceDN w:val="0"/>
              <w:adjustRightInd w:val="0"/>
              <w:spacing w:after="0" w:line="276" w:lineRule="auto"/>
              <w:jc w:val="both"/>
              <w:rPr>
                <w:rFonts w:ascii="Times New Roman" w:hAnsi="Times New Roman" w:cs="Times New Roman"/>
                <w:color w:val="000000"/>
              </w:rPr>
            </w:pPr>
            <w:r>
              <w:t>Modalități de punere în aplicare (nume și contacte)</w:t>
            </w:r>
          </w:p>
        </w:tc>
        <w:tc>
          <w:tcPr>
            <w:tcW w:w="1714" w:type="dxa"/>
          </w:tcPr>
          <w:p w14:paraId="7C9E6FE5">
            <w:pPr>
              <w:pStyle w:val="75"/>
              <w:autoSpaceDE w:val="0"/>
              <w:autoSpaceDN w:val="0"/>
              <w:adjustRightInd w:val="0"/>
              <w:spacing w:after="0" w:line="276" w:lineRule="auto"/>
              <w:jc w:val="both"/>
              <w:rPr>
                <w:rFonts w:hint="default" w:ascii="Times New Roman" w:hAnsi="Times New Roman" w:cs="Times New Roman"/>
                <w:color w:val="000000"/>
              </w:rPr>
            </w:pPr>
            <w:r>
              <w:rPr>
                <w:rFonts w:ascii="Times New Roman" w:hAnsi="Times New Roman" w:cs="Times New Roman"/>
              </w:rPr>
              <w:t>Supravegherea:</w:t>
            </w:r>
            <w:r>
              <w:rPr>
                <w:rFonts w:hint="default" w:ascii="Times New Roman" w:hAnsi="Times New Roman" w:cs="Times New Roman"/>
              </w:rPr>
              <w:t xml:space="preserve"> ________________ (</w:t>
            </w:r>
            <w:r>
              <w:rPr>
                <w:rFonts w:hint="default" w:ascii="Times New Roman" w:hAnsi="Times New Roman" w:cs="Times New Roman"/>
                <w:lang w:val="ro-RO"/>
              </w:rPr>
              <w:t xml:space="preserve"> </w:t>
            </w:r>
            <w:r>
              <w:rPr>
                <w:rFonts w:hint="default" w:ascii="Times New Roman" w:hAnsi="Times New Roman" w:cs="Times New Roman"/>
                <w:i/>
                <w:sz w:val="20"/>
                <w:szCs w:val="20"/>
                <w:lang w:val="ro-RO"/>
              </w:rPr>
              <w:t>a s</w:t>
            </w:r>
            <w:r>
              <w:rPr>
                <w:rFonts w:hint="default" w:ascii="Times New Roman" w:hAnsi="Times New Roman" w:cs="Times New Roman"/>
                <w:i/>
                <w:sz w:val="20"/>
                <w:szCs w:val="20"/>
              </w:rPr>
              <w:t>e completa de către contractant)</w:t>
            </w:r>
          </w:p>
        </w:tc>
        <w:tc>
          <w:tcPr>
            <w:tcW w:w="1996" w:type="dxa"/>
          </w:tcPr>
          <w:p w14:paraId="024301B0">
            <w:pPr>
              <w:pStyle w:val="61"/>
              <w:autoSpaceDE w:val="0"/>
              <w:autoSpaceDN w:val="0"/>
              <w:adjustRightInd w:val="0"/>
              <w:spacing w:after="160" w:line="276" w:lineRule="auto"/>
              <w:jc w:val="both"/>
              <w:rPr>
                <w:rFonts w:ascii="Times New Roman" w:hAnsi="Times New Roman" w:cs="Times New Roman"/>
                <w:color w:val="000000"/>
              </w:rPr>
            </w:pPr>
            <w:r>
              <w:t>Supravegherea contrapărții locale (dacă este cazul)</w:t>
            </w:r>
          </w:p>
          <w:p w14:paraId="183A1263">
            <w:pPr>
              <w:pStyle w:val="76"/>
              <w:autoSpaceDE w:val="0"/>
              <w:autoSpaceDN w:val="0"/>
              <w:adjustRightInd w:val="0"/>
              <w:spacing w:after="0" w:line="276" w:lineRule="auto"/>
              <w:jc w:val="both"/>
              <w:rPr>
                <w:rFonts w:hint="default" w:ascii="Times New Roman" w:hAnsi="Times New Roman" w:cs="Times New Roman"/>
                <w:i/>
                <w:iCs/>
                <w:color w:val="000000"/>
                <w:sz w:val="20"/>
                <w:szCs w:val="20"/>
              </w:rPr>
            </w:pPr>
            <w:r>
              <w:t>__</w:t>
            </w:r>
            <w:r>
              <w:rPr>
                <w:i/>
                <w:sz w:val="20"/>
                <w:szCs w:val="20"/>
              </w:rPr>
              <w:t xml:space="preserve">_____________ </w:t>
            </w:r>
          </w:p>
          <w:p w14:paraId="3E56AD04">
            <w:pPr>
              <w:pStyle w:val="77"/>
              <w:autoSpaceDE w:val="0"/>
              <w:autoSpaceDN w:val="0"/>
              <w:adjustRightInd w:val="0"/>
              <w:spacing w:after="0" w:line="276" w:lineRule="auto"/>
              <w:jc w:val="both"/>
              <w:rPr>
                <w:rFonts w:hint="default" w:ascii="Times New Roman" w:hAnsi="Times New Roman" w:cs="Times New Roman"/>
                <w:i/>
                <w:iCs/>
                <w:color w:val="000000"/>
                <w:sz w:val="20"/>
                <w:szCs w:val="20"/>
              </w:rPr>
            </w:pPr>
            <w:r>
              <w:t>(a se completa de către contractant)</w:t>
            </w:r>
          </w:p>
          <w:p w14:paraId="6537AA63">
            <w:pPr>
              <w:autoSpaceDE w:val="0"/>
              <w:autoSpaceDN w:val="0"/>
              <w:adjustRightInd w:val="0"/>
              <w:spacing w:after="160" w:line="276" w:lineRule="auto"/>
              <w:jc w:val="both"/>
              <w:rPr>
                <w:rFonts w:ascii="Times New Roman" w:hAnsi="Times New Roman" w:cs="Times New Roman"/>
                <w:color w:val="000000"/>
              </w:rPr>
            </w:pPr>
          </w:p>
        </w:tc>
        <w:tc>
          <w:tcPr>
            <w:tcW w:w="1347" w:type="dxa"/>
          </w:tcPr>
          <w:p w14:paraId="12D8503B">
            <w:pPr>
              <w:pStyle w:val="61"/>
              <w:autoSpaceDE w:val="0"/>
              <w:autoSpaceDN w:val="0"/>
              <w:adjustRightInd w:val="0"/>
              <w:spacing w:after="160" w:line="276" w:lineRule="auto"/>
              <w:jc w:val="both"/>
              <w:rPr>
                <w:rFonts w:ascii="Times New Roman" w:hAnsi="Times New Roman" w:cs="Times New Roman"/>
                <w:color w:val="000000"/>
                <w:sz w:val="20"/>
                <w:szCs w:val="20"/>
              </w:rPr>
            </w:pPr>
            <w:r>
              <w:rPr>
                <w:sz w:val="20"/>
                <w:szCs w:val="20"/>
              </w:rPr>
              <w:t>Supravegherea inspectoratului local (dacă este cazul)</w:t>
            </w:r>
          </w:p>
          <w:p w14:paraId="23907E18">
            <w:pPr>
              <w:pStyle w:val="61"/>
              <w:autoSpaceDE w:val="0"/>
              <w:autoSpaceDN w:val="0"/>
              <w:adjustRightInd w:val="0"/>
              <w:spacing w:after="160" w:line="276" w:lineRule="auto"/>
              <w:jc w:val="both"/>
              <w:rPr>
                <w:rFonts w:ascii="Times New Roman" w:hAnsi="Times New Roman" w:cs="Times New Roman"/>
                <w:color w:val="000000"/>
                <w:sz w:val="20"/>
                <w:szCs w:val="20"/>
              </w:rPr>
            </w:pPr>
            <w:r>
              <w:rPr>
                <w:sz w:val="20"/>
                <w:szCs w:val="20"/>
              </w:rPr>
              <w:t>----</w:t>
            </w:r>
          </w:p>
        </w:tc>
        <w:tc>
          <w:tcPr>
            <w:tcW w:w="1226" w:type="dxa"/>
          </w:tcPr>
          <w:p w14:paraId="4445AC40">
            <w:pPr>
              <w:pStyle w:val="75"/>
              <w:autoSpaceDE w:val="0"/>
              <w:autoSpaceDN w:val="0"/>
              <w:adjustRightInd w:val="0"/>
              <w:spacing w:after="160" w:line="276" w:lineRule="auto"/>
              <w:jc w:val="both"/>
              <w:rPr>
                <w:rFonts w:hint="default" w:ascii="Times New Roman" w:hAnsi="Times New Roman" w:cs="Times New Roman"/>
                <w:color w:val="000000"/>
              </w:rPr>
            </w:pPr>
            <w:r>
              <w:rPr>
                <w:rFonts w:ascii="Times New Roman" w:hAnsi="Times New Roman" w:cs="Times New Roman"/>
              </w:rPr>
              <w:t>Persoană de contact:</w:t>
            </w:r>
          </w:p>
          <w:p w14:paraId="1939D4AF">
            <w:pPr>
              <w:pStyle w:val="76"/>
              <w:autoSpaceDE w:val="0"/>
              <w:autoSpaceDN w:val="0"/>
              <w:adjustRightInd w:val="0"/>
              <w:spacing w:after="0" w:line="276" w:lineRule="auto"/>
              <w:jc w:val="both"/>
              <w:rPr>
                <w:rFonts w:hint="default" w:ascii="Times New Roman" w:hAnsi="Times New Roman" w:cs="Times New Roman"/>
                <w:i/>
                <w:iCs/>
                <w:color w:val="000000"/>
                <w:sz w:val="20"/>
                <w:szCs w:val="20"/>
              </w:rPr>
            </w:pPr>
            <w:r>
              <w:t>_</w:t>
            </w:r>
            <w:r>
              <w:rPr>
                <w:i/>
                <w:sz w:val="20"/>
                <w:szCs w:val="20"/>
              </w:rPr>
              <w:t>___________</w:t>
            </w:r>
          </w:p>
          <w:p w14:paraId="02D25C54">
            <w:pPr>
              <w:autoSpaceDE w:val="0"/>
              <w:autoSpaceDN w:val="0"/>
              <w:adjustRightInd w:val="0"/>
              <w:spacing w:after="0" w:line="276" w:lineRule="auto"/>
              <w:jc w:val="both"/>
              <w:rPr>
                <w:rFonts w:hint="default" w:ascii="Times New Roman" w:hAnsi="Times New Roman" w:cs="Times New Roman"/>
                <w:i/>
                <w:iCs/>
                <w:color w:val="000000"/>
                <w:sz w:val="20"/>
                <w:szCs w:val="20"/>
              </w:rPr>
            </w:pPr>
          </w:p>
          <w:p w14:paraId="6B7D8BE2">
            <w:pPr>
              <w:pStyle w:val="78"/>
              <w:autoSpaceDE w:val="0"/>
              <w:autoSpaceDN w:val="0"/>
              <w:adjustRightInd w:val="0"/>
              <w:spacing w:after="0" w:line="276" w:lineRule="auto"/>
              <w:jc w:val="both"/>
              <w:rPr>
                <w:rFonts w:hint="default" w:ascii="Times New Roman" w:hAnsi="Times New Roman" w:cs="Times New Roman"/>
                <w:i/>
                <w:iCs/>
                <w:color w:val="000000"/>
                <w:sz w:val="20"/>
                <w:szCs w:val="20"/>
              </w:rPr>
            </w:pPr>
            <w:r>
              <w:rPr>
                <w:i/>
              </w:rPr>
              <w:t>(se completează de către contractant)</w:t>
            </w:r>
          </w:p>
          <w:p w14:paraId="3AF94100">
            <w:pPr>
              <w:autoSpaceDE w:val="0"/>
              <w:autoSpaceDN w:val="0"/>
              <w:adjustRightInd w:val="0"/>
              <w:spacing w:after="160" w:line="276" w:lineRule="auto"/>
              <w:jc w:val="both"/>
              <w:rPr>
                <w:rFonts w:ascii="Times New Roman" w:hAnsi="Times New Roman" w:cs="Times New Roman"/>
                <w:color w:val="000000"/>
              </w:rPr>
            </w:pPr>
          </w:p>
        </w:tc>
      </w:tr>
      <w:tr w14:paraId="5578B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gridSpan w:val="5"/>
          </w:tcPr>
          <w:p w14:paraId="7295C5F3">
            <w:pPr>
              <w:pStyle w:val="68"/>
              <w:autoSpaceDE w:val="0"/>
              <w:autoSpaceDN w:val="0"/>
              <w:adjustRightInd w:val="0"/>
              <w:spacing w:after="0" w:line="276" w:lineRule="auto"/>
              <w:jc w:val="both"/>
              <w:rPr>
                <w:rFonts w:ascii="Times New Roman" w:hAnsi="Times New Roman" w:cs="Times New Roman"/>
                <w:b/>
                <w:bCs/>
                <w:color w:val="000000"/>
              </w:rPr>
            </w:pPr>
            <w:r>
              <w:t>DESCRIEREA SITE-ULUI</w:t>
            </w:r>
          </w:p>
          <w:p w14:paraId="76D7F256">
            <w:pPr>
              <w:autoSpaceDE w:val="0"/>
              <w:autoSpaceDN w:val="0"/>
              <w:adjustRightInd w:val="0"/>
              <w:spacing w:after="0" w:line="276" w:lineRule="auto"/>
              <w:jc w:val="both"/>
              <w:rPr>
                <w:rFonts w:ascii="Times New Roman" w:hAnsi="Times New Roman" w:cs="Times New Roman"/>
                <w:color w:val="000000"/>
              </w:rPr>
            </w:pPr>
          </w:p>
        </w:tc>
      </w:tr>
      <w:tr w14:paraId="0AA33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144C38BC">
            <w:pPr>
              <w:pStyle w:val="61"/>
              <w:autoSpaceDE w:val="0"/>
              <w:autoSpaceDN w:val="0"/>
              <w:adjustRightInd w:val="0"/>
              <w:spacing w:after="0" w:line="276" w:lineRule="auto"/>
              <w:jc w:val="both"/>
              <w:rPr>
                <w:rFonts w:ascii="Times New Roman" w:hAnsi="Times New Roman" w:cs="Times New Roman"/>
                <w:color w:val="000000"/>
              </w:rPr>
            </w:pPr>
            <w:r>
              <w:t>Denumirea sitului</w:t>
            </w:r>
          </w:p>
        </w:tc>
        <w:tc>
          <w:tcPr>
            <w:tcW w:w="6283" w:type="dxa"/>
            <w:gridSpan w:val="4"/>
          </w:tcPr>
          <w:p w14:paraId="4B294E07">
            <w:pPr>
              <w:pStyle w:val="79"/>
              <w:suppressAutoHyphens/>
              <w:spacing w:after="60" w:line="240" w:lineRule="auto"/>
            </w:pPr>
            <w:r>
              <w:t>Lucrări de extindere/modernizare a parcării existente în Giurgiulești-(MD)</w:t>
            </w:r>
          </w:p>
        </w:tc>
      </w:tr>
      <w:tr w14:paraId="2EC55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31C95EDD">
            <w:pPr>
              <w:pStyle w:val="61"/>
              <w:autoSpaceDE w:val="0"/>
              <w:autoSpaceDN w:val="0"/>
              <w:adjustRightInd w:val="0"/>
              <w:spacing w:after="0" w:line="276" w:lineRule="auto"/>
              <w:jc w:val="both"/>
              <w:rPr>
                <w:rFonts w:ascii="Times New Roman" w:hAnsi="Times New Roman" w:cs="Times New Roman"/>
                <w:color w:val="000000"/>
              </w:rPr>
            </w:pPr>
            <w:r>
              <w:t>Descrierea locației amplasamentului</w:t>
            </w:r>
          </w:p>
        </w:tc>
        <w:tc>
          <w:tcPr>
            <w:tcW w:w="6283" w:type="dxa"/>
            <w:gridSpan w:val="4"/>
          </w:tcPr>
          <w:p w14:paraId="15490EB1">
            <w:pPr>
              <w:pStyle w:val="61"/>
              <w:autoSpaceDE w:val="0"/>
              <w:autoSpaceDN w:val="0"/>
              <w:adjustRightInd w:val="0"/>
              <w:spacing w:after="0" w:line="276" w:lineRule="auto"/>
              <w:jc w:val="both"/>
              <w:rPr>
                <w:rFonts w:ascii="Times New Roman" w:hAnsi="Times New Roman" w:cs="Times New Roman"/>
                <w:color w:val="000000"/>
              </w:rPr>
            </w:pPr>
            <w:r>
              <w:t>Platforma de control a Serviciului Vamal Giurgiulești este situată la aproximativ 3 kilometri de punctele de trecere a frontierei Moldova-România și Moldova-Ucraina, pe ruta Cahul-Giurgiulești. Situl se află în afara zonei construite a satului Giurgiulești din districtul Cahul și se întinde pe un teren aflat în proprietatea guvernului de aproximativ 1,27 hectare. Zona este înconjurată de terenuri agricole și pășuni, râul Prut fiind situat la 470 de metri distanță. Un deal și o parcelă forestieră din apropiere oferă tampoane naturale. Cele mai apropiate structuri rezidențiale din satul Giurgiulești se află la aproximativ 780 de metri distanță, asigurând o perturbare directă minimă. Destinată inițial pentru 60 de camioane, platforma găzduiește în prezent aproximativ 30 de vehicule și este parțial pavată. Modernizările planificate includ betonarea completă a platformei, instalarea de instalații sanitare moderne, scara camioanelor, fântâna arteziană, drenajul, iluminatul și sistemele electronice de așteptare, menite să ușureze congestia și să îmbunătățească condițiile pentru șoferi și rezidenții locali.</w:t>
            </w:r>
          </w:p>
        </w:tc>
      </w:tr>
      <w:tr w14:paraId="6AB77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64B19E85">
            <w:pPr>
              <w:pStyle w:val="61"/>
              <w:autoSpaceDE w:val="0"/>
              <w:autoSpaceDN w:val="0"/>
              <w:adjustRightInd w:val="0"/>
              <w:spacing w:after="0" w:line="276" w:lineRule="auto"/>
              <w:jc w:val="both"/>
              <w:rPr>
                <w:rFonts w:ascii="Times New Roman" w:hAnsi="Times New Roman" w:cs="Times New Roman"/>
                <w:color w:val="000000"/>
              </w:rPr>
            </w:pPr>
            <w:r>
              <w:t>Cine deține pământul?</w:t>
            </w:r>
          </w:p>
        </w:tc>
        <w:tc>
          <w:tcPr>
            <w:tcW w:w="6283" w:type="dxa"/>
            <w:gridSpan w:val="4"/>
          </w:tcPr>
          <w:p w14:paraId="0D1B4875">
            <w:pPr>
              <w:pStyle w:val="61"/>
              <w:autoSpaceDE w:val="0"/>
              <w:autoSpaceDN w:val="0"/>
              <w:adjustRightInd w:val="0"/>
              <w:spacing w:after="0" w:line="276" w:lineRule="auto"/>
              <w:jc w:val="both"/>
              <w:rPr>
                <w:rFonts w:ascii="Times New Roman" w:hAnsi="Times New Roman" w:cs="Times New Roman"/>
                <w:color w:val="000000"/>
              </w:rPr>
            </w:pPr>
            <w:r>
              <w:t>Statul, G</w:t>
            </w:r>
            <w:r>
              <w:rPr>
                <w:rFonts w:hint="default"/>
                <w:lang w:val="ro-RO"/>
              </w:rPr>
              <w:t>uvernul</w:t>
            </w:r>
          </w:p>
        </w:tc>
      </w:tr>
      <w:tr w14:paraId="729E5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1BA281E8">
            <w:pPr>
              <w:pStyle w:val="61"/>
              <w:autoSpaceDE w:val="0"/>
              <w:autoSpaceDN w:val="0"/>
              <w:adjustRightInd w:val="0"/>
              <w:spacing w:after="0" w:line="276" w:lineRule="auto"/>
              <w:jc w:val="both"/>
              <w:rPr>
                <w:rFonts w:ascii="Times New Roman" w:hAnsi="Times New Roman" w:cs="Times New Roman"/>
                <w:color w:val="000000"/>
              </w:rPr>
            </w:pPr>
            <w:r>
              <w:t>Descriere geografică</w:t>
            </w:r>
          </w:p>
        </w:tc>
        <w:tc>
          <w:tcPr>
            <w:tcW w:w="6283" w:type="dxa"/>
            <w:gridSpan w:val="4"/>
          </w:tcPr>
          <w:p w14:paraId="00CED307">
            <w:pPr>
              <w:pStyle w:val="61"/>
              <w:autoSpaceDE w:val="0"/>
              <w:autoSpaceDN w:val="0"/>
              <w:adjustRightInd w:val="0"/>
              <w:spacing w:after="0" w:line="276" w:lineRule="auto"/>
              <w:jc w:val="both"/>
              <w:rPr>
                <w:rFonts w:ascii="Times New Roman" w:hAnsi="Times New Roman" w:cs="Times New Roman"/>
                <w:color w:val="000000"/>
              </w:rPr>
            </w:pPr>
            <w:r>
              <w:t>Platforma de control a Serviciului Vamal Giurgiulești este situată geografic în partea de sud a Republicii Moldova, în cadrul raionului Cahul, la aproximativ 3 kilometri nord-est de punctele de trecere a frontierei Giurgiulești cu România (Giurgiulești-Galați) și Ucraina (Giurgiulești-Reni). Situl se află de-a lungul drumului național R34, care leagă orașul Cahul de portul și facilitățile vamale din Giurgiulești.</w:t>
            </w:r>
          </w:p>
          <w:p w14:paraId="198274A9">
            <w:pPr>
              <w:pStyle w:val="61"/>
              <w:autoSpaceDE w:val="0"/>
              <w:autoSpaceDN w:val="0"/>
              <w:adjustRightInd w:val="0"/>
              <w:spacing w:after="0" w:line="276" w:lineRule="auto"/>
              <w:jc w:val="both"/>
              <w:rPr>
                <w:rFonts w:ascii="Times New Roman" w:hAnsi="Times New Roman" w:cs="Times New Roman"/>
                <w:color w:val="000000"/>
              </w:rPr>
            </w:pPr>
            <w:r>
              <w:t>Platforma este situată în afara zonei construite a satului Giurgiulești, pe o câmpie ușor ridicată, mărginită de terenuri agricole și pășuni. Râul Prut, care formează granița naturală cu România, este situat la aproximativ 470 de metri vest de sit, cu un deal și o parcelă forestieră care servesc drept bariere naturale topografice și vizuale. Peisajul înconjurător este rural, fără zone naturale protejate sensibile în imediata vecinătate. Situl se află pe teritoriul cel mai sudic al Moldovei, în apropierea singurului acces direct al țării la fluviul Dunărea și la porturile maritime prin Portul Internațional Liber Giurgiulești.</w:t>
            </w:r>
          </w:p>
          <w:p w14:paraId="445E598D">
            <w:pPr>
              <w:autoSpaceDE w:val="0"/>
              <w:autoSpaceDN w:val="0"/>
              <w:adjustRightInd w:val="0"/>
              <w:spacing w:after="0" w:line="276" w:lineRule="auto"/>
              <w:jc w:val="both"/>
              <w:rPr>
                <w:rFonts w:ascii="Times New Roman" w:hAnsi="Times New Roman" w:cs="Times New Roman"/>
                <w:color w:val="000000"/>
              </w:rPr>
            </w:pPr>
          </w:p>
        </w:tc>
      </w:tr>
      <w:tr w14:paraId="25368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gridSpan w:val="5"/>
          </w:tcPr>
          <w:p w14:paraId="40D0CC32">
            <w:pPr>
              <w:pStyle w:val="68"/>
              <w:autoSpaceDE w:val="0"/>
              <w:autoSpaceDN w:val="0"/>
              <w:adjustRightInd w:val="0"/>
              <w:spacing w:after="0" w:line="276" w:lineRule="auto"/>
              <w:jc w:val="both"/>
              <w:rPr>
                <w:rFonts w:ascii="Times New Roman" w:hAnsi="Times New Roman" w:cs="Times New Roman"/>
                <w:color w:val="000000"/>
              </w:rPr>
            </w:pPr>
            <w:r>
              <w:t>LEGISLAȚIE</w:t>
            </w:r>
          </w:p>
        </w:tc>
      </w:tr>
      <w:tr w14:paraId="672D4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36EA4691">
            <w:pPr>
              <w:pStyle w:val="61"/>
              <w:autoSpaceDE w:val="0"/>
              <w:autoSpaceDN w:val="0"/>
              <w:adjustRightInd w:val="0"/>
              <w:spacing w:after="0" w:line="276" w:lineRule="auto"/>
              <w:rPr>
                <w:rFonts w:ascii="Times New Roman" w:hAnsi="Times New Roman" w:cs="Times New Roman"/>
                <w:color w:val="000000"/>
              </w:rPr>
            </w:pPr>
            <w:r>
              <w:t>Identificați legislația națională &amp; autorizațiile care se aplică activității proiectului</w:t>
            </w:r>
          </w:p>
        </w:tc>
        <w:tc>
          <w:tcPr>
            <w:tcW w:w="6283" w:type="dxa"/>
            <w:gridSpan w:val="4"/>
          </w:tcPr>
          <w:p w14:paraId="23953C82">
            <w:pPr>
              <w:pStyle w:val="61"/>
              <w:autoSpaceDE w:val="0"/>
              <w:autoSpaceDN w:val="0"/>
              <w:adjustRightInd w:val="0"/>
              <w:spacing w:after="0" w:line="276" w:lineRule="auto"/>
              <w:ind w:left="360"/>
              <w:jc w:val="both"/>
              <w:rPr>
                <w:rFonts w:ascii="Times New Roman" w:hAnsi="Times New Roman" w:cs="Times New Roman"/>
                <w:color w:val="000000"/>
              </w:rPr>
            </w:pPr>
            <w:r>
              <w:rPr>
                <w:b/>
              </w:rPr>
              <w:t>Legea privind protecția mediului nr. 1515-XII din 16.06.1993</w:t>
            </w:r>
            <w:r>
              <w:br w:type="textWrapping"/>
            </w:r>
            <w:r>
              <w:t>– Stabilește cadrul juridic general pentru protecția mediului în Republica Moldova.</w:t>
            </w:r>
          </w:p>
          <w:p w14:paraId="2F3F0F16">
            <w:pPr>
              <w:pStyle w:val="61"/>
              <w:autoSpaceDE w:val="0"/>
              <w:autoSpaceDN w:val="0"/>
              <w:adjustRightInd w:val="0"/>
              <w:spacing w:after="0" w:line="276" w:lineRule="auto"/>
              <w:ind w:left="360"/>
              <w:jc w:val="both"/>
              <w:rPr>
                <w:rFonts w:ascii="Times New Roman" w:hAnsi="Times New Roman" w:cs="Times New Roman"/>
                <w:color w:val="000000"/>
              </w:rPr>
            </w:pPr>
            <w:r>
              <w:rPr>
                <w:b/>
              </w:rPr>
              <w:t>Legea privind evaluarea impactului asupra mediului nr. 86 din 29.5.2014</w:t>
            </w:r>
            <w:r>
              <w:br w:type="textWrapping"/>
            </w:r>
            <w:r>
              <w:t>– Necesită o evaluare a impactului asupra mediului pentru proiectele publice și private care pot avea efecte semnificative asupra mediului.</w:t>
            </w:r>
          </w:p>
          <w:p w14:paraId="287ACA77">
            <w:pPr>
              <w:pStyle w:val="61"/>
              <w:autoSpaceDE w:val="0"/>
              <w:autoSpaceDN w:val="0"/>
              <w:adjustRightInd w:val="0"/>
              <w:spacing w:after="0" w:line="276" w:lineRule="auto"/>
              <w:ind w:left="360"/>
              <w:jc w:val="both"/>
              <w:rPr>
                <w:rFonts w:ascii="Times New Roman" w:hAnsi="Times New Roman" w:cs="Times New Roman"/>
                <w:color w:val="000000"/>
              </w:rPr>
            </w:pPr>
            <w:r>
              <w:rPr>
                <w:b/>
              </w:rPr>
              <w:t>Legea privind supravegherea de stat a sănătății publice nr. 10-XVI din 3.2.2009</w:t>
            </w:r>
            <w:r>
              <w:br w:type="textWrapping"/>
            </w:r>
            <w:r>
              <w:t>– Asigură protecția sănătății populației, relevantă pentru evaluarea condițiilor sanitare și a proximității față de zonele rezidențiale.</w:t>
            </w:r>
          </w:p>
          <w:p w14:paraId="09B5F846">
            <w:pPr>
              <w:pStyle w:val="61"/>
              <w:autoSpaceDE w:val="0"/>
              <w:autoSpaceDN w:val="0"/>
              <w:adjustRightInd w:val="0"/>
              <w:spacing w:after="0" w:line="276" w:lineRule="auto"/>
              <w:ind w:left="360"/>
              <w:jc w:val="both"/>
              <w:rPr>
                <w:rFonts w:ascii="Times New Roman" w:hAnsi="Times New Roman" w:cs="Times New Roman"/>
                <w:color w:val="000000"/>
              </w:rPr>
            </w:pPr>
            <w:r>
              <w:rPr>
                <w:b/>
              </w:rPr>
              <w:t>Legea privind deșeurile nr. 209 din 29.07.2016</w:t>
            </w:r>
            <w:r>
              <w:br w:type="textWrapping"/>
            </w:r>
            <w:r>
              <w:t>– Reglementează gestionarea deșeurilor, relevantă pentru manipularea deșeurilor din construcții și din exploatare.</w:t>
            </w:r>
          </w:p>
          <w:p w14:paraId="25023C05">
            <w:pPr>
              <w:pStyle w:val="61"/>
              <w:autoSpaceDE w:val="0"/>
              <w:autoSpaceDN w:val="0"/>
              <w:adjustRightInd w:val="0"/>
              <w:spacing w:after="0" w:line="276" w:lineRule="auto"/>
              <w:ind w:left="360"/>
              <w:jc w:val="both"/>
              <w:rPr>
                <w:rFonts w:ascii="Times New Roman" w:hAnsi="Times New Roman" w:cs="Times New Roman"/>
                <w:color w:val="000000"/>
              </w:rPr>
            </w:pPr>
            <w:r>
              <w:rPr>
                <w:b/>
              </w:rPr>
              <w:t>Legea privind accesul la informațiile de interes public nr. 982-XIV din 11.05.2000</w:t>
            </w:r>
            <w:r>
              <w:br w:type="textWrapping"/>
            </w:r>
            <w:r>
              <w:t>– Asigură transparența și accesul la informațiile despre mediu.</w:t>
            </w:r>
          </w:p>
          <w:p w14:paraId="067532E2">
            <w:pPr>
              <w:autoSpaceDE w:val="0"/>
              <w:autoSpaceDN w:val="0"/>
              <w:adjustRightInd w:val="0"/>
              <w:spacing w:after="0" w:line="276" w:lineRule="auto"/>
              <w:jc w:val="both"/>
              <w:rPr>
                <w:rFonts w:ascii="Times New Roman" w:hAnsi="Times New Roman" w:cs="Times New Roman"/>
                <w:color w:val="000000"/>
              </w:rPr>
            </w:pPr>
          </w:p>
          <w:p w14:paraId="41CC861B">
            <w:pPr>
              <w:pStyle w:val="68"/>
              <w:autoSpaceDE w:val="0"/>
              <w:autoSpaceDN w:val="0"/>
              <w:adjustRightInd w:val="0"/>
              <w:spacing w:after="0" w:line="276" w:lineRule="auto"/>
              <w:jc w:val="both"/>
              <w:rPr>
                <w:rFonts w:ascii="Times New Roman" w:hAnsi="Times New Roman" w:cs="Times New Roman"/>
                <w:b/>
                <w:bCs/>
                <w:color w:val="000000"/>
              </w:rPr>
            </w:pPr>
            <w:r>
              <w:t>Permisele necesare pentru proiect</w:t>
            </w:r>
          </w:p>
          <w:p w14:paraId="5E418928">
            <w:pPr>
              <w:pStyle w:val="61"/>
              <w:numPr>
                <w:ilvl w:val="0"/>
                <w:numId w:val="10"/>
              </w:numPr>
              <w:autoSpaceDE w:val="0"/>
              <w:autoSpaceDN w:val="0"/>
              <w:adjustRightInd w:val="0"/>
              <w:spacing w:after="0" w:line="276" w:lineRule="auto"/>
              <w:jc w:val="both"/>
              <w:rPr>
                <w:rFonts w:ascii="Times New Roman" w:hAnsi="Times New Roman" w:cs="Times New Roman"/>
                <w:color w:val="000000"/>
              </w:rPr>
            </w:pPr>
            <w:r>
              <w:rPr>
                <w:b/>
              </w:rPr>
              <w:t>Certificat de urbanism pentru proiectare</w:t>
            </w:r>
            <w:r>
              <w:br w:type="textWrapping"/>
            </w:r>
            <w:r>
              <w:t>– Confirmă conformitatea sitului cu cerințele de amenajare teritorială și urbană.</w:t>
            </w:r>
          </w:p>
          <w:p w14:paraId="1337AB16">
            <w:pPr>
              <w:pStyle w:val="61"/>
              <w:numPr>
                <w:ilvl w:val="0"/>
                <w:numId w:val="10"/>
              </w:numPr>
              <w:autoSpaceDE w:val="0"/>
              <w:autoSpaceDN w:val="0"/>
              <w:adjustRightInd w:val="0"/>
              <w:spacing w:after="0" w:line="276" w:lineRule="auto"/>
              <w:jc w:val="both"/>
              <w:rPr>
                <w:rFonts w:ascii="Times New Roman" w:hAnsi="Times New Roman" w:cs="Times New Roman"/>
                <w:color w:val="000000"/>
              </w:rPr>
            </w:pPr>
            <w:r>
              <w:rPr>
                <w:b/>
              </w:rPr>
              <w:t>Autorizație de mediu / Autorizație de mediu</w:t>
            </w:r>
            <w:r>
              <w:br w:type="textWrapping"/>
            </w:r>
            <w:r>
              <w:t>– Necesar pe baza constatărilor evaluării impactului asupra mediului.</w:t>
            </w:r>
          </w:p>
          <w:p w14:paraId="59AB1F84">
            <w:pPr>
              <w:pStyle w:val="61"/>
              <w:numPr>
                <w:ilvl w:val="0"/>
                <w:numId w:val="10"/>
              </w:numPr>
              <w:autoSpaceDE w:val="0"/>
              <w:autoSpaceDN w:val="0"/>
              <w:adjustRightInd w:val="0"/>
              <w:spacing w:after="0" w:line="276" w:lineRule="auto"/>
              <w:jc w:val="both"/>
              <w:rPr>
                <w:rFonts w:ascii="Times New Roman" w:hAnsi="Times New Roman" w:cs="Times New Roman"/>
                <w:color w:val="000000"/>
              </w:rPr>
            </w:pPr>
            <w:r>
              <w:rPr>
                <w:b/>
              </w:rPr>
              <w:t>Autorizație de construcție</w:t>
            </w:r>
            <w:r>
              <w:br w:type="textWrapping"/>
            </w:r>
            <w:r>
              <w:t>– Eliberat de autoritatea publică locală după aprobarea proiectului tehnic.</w:t>
            </w:r>
          </w:p>
          <w:p w14:paraId="14E4F175">
            <w:pPr>
              <w:pStyle w:val="61"/>
              <w:numPr>
                <w:ilvl w:val="0"/>
                <w:numId w:val="10"/>
              </w:numPr>
              <w:autoSpaceDE w:val="0"/>
              <w:autoSpaceDN w:val="0"/>
              <w:adjustRightInd w:val="0"/>
              <w:spacing w:after="0" w:line="276" w:lineRule="auto"/>
              <w:jc w:val="both"/>
              <w:rPr>
                <w:rFonts w:ascii="Times New Roman" w:hAnsi="Times New Roman" w:cs="Times New Roman"/>
                <w:color w:val="000000"/>
              </w:rPr>
            </w:pPr>
            <w:r>
              <w:rPr>
                <w:b/>
              </w:rPr>
              <w:t>Autorizație de racordare la utilități</w:t>
            </w:r>
            <w:r>
              <w:t xml:space="preserve"> (alimentare cu apă, canalizare, electricitate)</w:t>
            </w:r>
            <w:r>
              <w:br w:type="textWrapping"/>
            </w:r>
            <w:r>
              <w:t>– Necesar pentru conectarea sitului la infrastructura publică existentă.</w:t>
            </w:r>
          </w:p>
          <w:p w14:paraId="54A20882">
            <w:pPr>
              <w:autoSpaceDE w:val="0"/>
              <w:autoSpaceDN w:val="0"/>
              <w:adjustRightInd w:val="0"/>
              <w:spacing w:after="0" w:line="276" w:lineRule="auto"/>
              <w:ind w:left="720"/>
              <w:jc w:val="both"/>
              <w:rPr>
                <w:rFonts w:ascii="Times New Roman" w:hAnsi="Times New Roman" w:cs="Times New Roman"/>
                <w:color w:val="000000"/>
              </w:rPr>
            </w:pPr>
          </w:p>
        </w:tc>
      </w:tr>
      <w:tr w14:paraId="59F37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gridSpan w:val="5"/>
          </w:tcPr>
          <w:p w14:paraId="07F8E648">
            <w:pPr>
              <w:pStyle w:val="68"/>
              <w:autoSpaceDE w:val="0"/>
              <w:autoSpaceDN w:val="0"/>
              <w:adjustRightInd w:val="0"/>
              <w:spacing w:after="0" w:line="276" w:lineRule="auto"/>
              <w:jc w:val="both"/>
              <w:rPr>
                <w:rFonts w:ascii="Times New Roman" w:hAnsi="Times New Roman" w:cs="Times New Roman"/>
                <w:b/>
                <w:bCs/>
                <w:color w:val="000000"/>
              </w:rPr>
            </w:pPr>
            <w:r>
              <w:t>CONSULTAȚII PUBLICE</w:t>
            </w:r>
          </w:p>
          <w:p w14:paraId="4F6111C4">
            <w:pPr>
              <w:autoSpaceDE w:val="0"/>
              <w:autoSpaceDN w:val="0"/>
              <w:adjustRightInd w:val="0"/>
              <w:spacing w:after="0" w:line="276" w:lineRule="auto"/>
              <w:jc w:val="both"/>
              <w:rPr>
                <w:rFonts w:ascii="Times New Roman" w:hAnsi="Times New Roman" w:cs="Times New Roman"/>
                <w:color w:val="000000"/>
              </w:rPr>
            </w:pPr>
          </w:p>
        </w:tc>
      </w:tr>
      <w:tr w14:paraId="06C09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6C5EC5FB">
            <w:pPr>
              <w:pStyle w:val="61"/>
              <w:autoSpaceDE w:val="0"/>
              <w:autoSpaceDN w:val="0"/>
              <w:adjustRightInd w:val="0"/>
              <w:spacing w:after="0" w:line="276" w:lineRule="auto"/>
              <w:rPr>
                <w:rFonts w:ascii="Times New Roman" w:hAnsi="Times New Roman" w:cs="Times New Roman"/>
                <w:color w:val="000000"/>
              </w:rPr>
            </w:pPr>
            <w:r>
              <w:t>Identificarea momentului/locului în care a avut loc procesul de consultare publică</w:t>
            </w:r>
          </w:p>
        </w:tc>
        <w:tc>
          <w:tcPr>
            <w:tcW w:w="6283" w:type="dxa"/>
            <w:gridSpan w:val="4"/>
          </w:tcPr>
          <w:p w14:paraId="22B6E528">
            <w:pPr>
              <w:pStyle w:val="61"/>
              <w:autoSpaceDE w:val="0"/>
              <w:autoSpaceDN w:val="0"/>
              <w:adjustRightInd w:val="0"/>
              <w:spacing w:after="0" w:line="276" w:lineRule="auto"/>
              <w:jc w:val="both"/>
              <w:rPr>
                <w:rFonts w:ascii="Times New Roman" w:hAnsi="Times New Roman" w:cs="Times New Roman"/>
                <w:color w:val="000000"/>
              </w:rPr>
            </w:pPr>
            <w:r>
              <w:rPr>
                <w:b/>
              </w:rPr>
              <w:t>Consultarea publică inițială</w:t>
            </w:r>
            <w:r>
              <w:t xml:space="preserve"> pentru proiectul platformei de parcare Giurgiulești s-a desfășurat la </w:t>
            </w:r>
            <w:r>
              <w:rPr>
                <w:b/>
              </w:rPr>
              <w:t>18 aprilie 2024</w:t>
            </w:r>
            <w:r>
              <w:t xml:space="preserve">, ca parte a procesului ESIA. </w:t>
            </w:r>
          </w:p>
          <w:p w14:paraId="3E88D08D">
            <w:pPr>
              <w:autoSpaceDE w:val="0"/>
              <w:autoSpaceDN w:val="0"/>
              <w:adjustRightInd w:val="0"/>
              <w:spacing w:after="0" w:line="276" w:lineRule="auto"/>
              <w:jc w:val="both"/>
              <w:rPr>
                <w:rFonts w:ascii="Times New Roman" w:hAnsi="Times New Roman" w:cs="Times New Roman"/>
                <w:color w:val="000000"/>
              </w:rPr>
            </w:pPr>
          </w:p>
          <w:p w14:paraId="5F84F4D3">
            <w:pPr>
              <w:pStyle w:val="61"/>
              <w:autoSpaceDE w:val="0"/>
              <w:autoSpaceDN w:val="0"/>
              <w:adjustRightInd w:val="0"/>
              <w:spacing w:after="0" w:line="276" w:lineRule="auto"/>
              <w:jc w:val="both"/>
              <w:rPr>
                <w:rFonts w:ascii="Times New Roman" w:hAnsi="Times New Roman" w:cs="Times New Roman"/>
                <w:color w:val="000000"/>
              </w:rPr>
            </w:pPr>
            <w:r>
              <w:t xml:space="preserve">Constatările din lista de verificare a ESMP și SIMC au fost stabilite la </w:t>
            </w:r>
            <w:r>
              <w:rPr>
                <w:b/>
              </w:rPr>
              <w:t>2 aprilie 2025.</w:t>
            </w:r>
            <w:r>
              <w:t xml:space="preserve"> </w:t>
            </w:r>
          </w:p>
          <w:p w14:paraId="0ADE21BA">
            <w:pPr>
              <w:pStyle w:val="61"/>
              <w:autoSpaceDE w:val="0"/>
              <w:autoSpaceDN w:val="0"/>
              <w:adjustRightInd w:val="0"/>
              <w:spacing w:after="0" w:line="276" w:lineRule="auto"/>
              <w:jc w:val="both"/>
              <w:rPr>
                <w:rFonts w:ascii="Times New Roman" w:hAnsi="Times New Roman" w:cs="Times New Roman"/>
                <w:color w:val="000000"/>
              </w:rPr>
            </w:pPr>
            <w:r>
              <w:t xml:space="preserve">Ambele întâlniri au avut loc în incinta Primăriei Giurgiulești. </w:t>
            </w:r>
          </w:p>
        </w:tc>
      </w:tr>
    </w:tbl>
    <w:p w14:paraId="24ECE7D3">
      <w:pPr>
        <w:autoSpaceDE w:val="0"/>
        <w:autoSpaceDN w:val="0"/>
        <w:adjustRightInd w:val="0"/>
        <w:spacing w:after="0" w:line="276" w:lineRule="auto"/>
        <w:jc w:val="both"/>
        <w:rPr>
          <w:rFonts w:ascii="Times New Roman" w:hAnsi="Times New Roman" w:cs="Times New Roman"/>
          <w:color w:val="000000"/>
        </w:r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0"/>
        <w:gridCol w:w="2340"/>
        <w:gridCol w:w="1732"/>
        <w:gridCol w:w="3158"/>
      </w:tblGrid>
      <w:tr w14:paraId="43B90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gridSpan w:val="4"/>
            <w:shd w:val="clear" w:color="auto" w:fill="C1E4F5" w:themeFill="accent1" w:themeFillTint="33"/>
          </w:tcPr>
          <w:p w14:paraId="43CAE0D5">
            <w:pPr>
              <w:pStyle w:val="68"/>
              <w:autoSpaceDE w:val="0"/>
              <w:autoSpaceDN w:val="0"/>
              <w:adjustRightInd w:val="0"/>
              <w:spacing w:after="160" w:line="276" w:lineRule="auto"/>
              <w:jc w:val="both"/>
              <w:rPr>
                <w:rFonts w:ascii="Times New Roman" w:hAnsi="Times New Roman" w:cs="Times New Roman"/>
                <w:b/>
                <w:bCs/>
                <w:color w:val="000000"/>
              </w:rPr>
            </w:pPr>
            <w:r>
              <w:t>PARTEA 2: SCREEN</w:t>
            </w:r>
            <w:r>
              <w:rPr>
                <w:rFonts w:hint="default"/>
                <w:lang w:val="ro-RO"/>
              </w:rPr>
              <w:t>ING al</w:t>
            </w:r>
            <w:r>
              <w:t xml:space="preserve"> MEDIULUI ȘI SOCIAL</w:t>
            </w:r>
          </w:p>
          <w:p w14:paraId="592035B3">
            <w:pPr>
              <w:autoSpaceDE w:val="0"/>
              <w:autoSpaceDN w:val="0"/>
              <w:adjustRightInd w:val="0"/>
              <w:spacing w:after="160" w:line="276" w:lineRule="auto"/>
              <w:jc w:val="both"/>
              <w:rPr>
                <w:rFonts w:ascii="Times New Roman" w:hAnsi="Times New Roman" w:cs="Times New Roman"/>
                <w:color w:val="000000"/>
              </w:rPr>
            </w:pPr>
          </w:p>
        </w:tc>
      </w:tr>
      <w:tr w14:paraId="2A881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2CD71DCA">
            <w:pPr>
              <w:pStyle w:val="61"/>
              <w:autoSpaceDE w:val="0"/>
              <w:autoSpaceDN w:val="0"/>
              <w:adjustRightInd w:val="0"/>
              <w:spacing w:after="0" w:line="276" w:lineRule="auto"/>
              <w:jc w:val="center"/>
              <w:rPr>
                <w:rFonts w:ascii="Times New Roman" w:hAnsi="Times New Roman" w:cs="Times New Roman"/>
                <w:color w:val="000000"/>
              </w:rPr>
            </w:pPr>
            <w:r>
              <w:t>Activitatea sitului va include/implica oricare dintre următoarele probleme și/sau impacturi potențiale:</w:t>
            </w:r>
          </w:p>
        </w:tc>
        <w:tc>
          <w:tcPr>
            <w:tcW w:w="2340" w:type="dxa"/>
          </w:tcPr>
          <w:p w14:paraId="539EA24D">
            <w:pPr>
              <w:pStyle w:val="61"/>
              <w:autoSpaceDE w:val="0"/>
              <w:autoSpaceDN w:val="0"/>
              <w:adjustRightInd w:val="0"/>
              <w:spacing w:after="0" w:line="276" w:lineRule="auto"/>
              <w:jc w:val="center"/>
              <w:rPr>
                <w:rFonts w:ascii="Times New Roman" w:hAnsi="Times New Roman" w:cs="Times New Roman"/>
                <w:color w:val="000000"/>
              </w:rPr>
            </w:pPr>
            <w:r>
              <w:t>Activitate și exemple de probleme și/sau impacturi potențiale</w:t>
            </w:r>
          </w:p>
        </w:tc>
        <w:tc>
          <w:tcPr>
            <w:tcW w:w="1732" w:type="dxa"/>
          </w:tcPr>
          <w:p w14:paraId="07C54E99">
            <w:pPr>
              <w:pStyle w:val="61"/>
              <w:autoSpaceDE w:val="0"/>
              <w:autoSpaceDN w:val="0"/>
              <w:adjustRightInd w:val="0"/>
              <w:spacing w:after="160" w:line="276" w:lineRule="auto"/>
              <w:jc w:val="center"/>
              <w:rPr>
                <w:rFonts w:ascii="Times New Roman" w:hAnsi="Times New Roman" w:cs="Times New Roman"/>
                <w:color w:val="000000"/>
              </w:rPr>
            </w:pPr>
            <w:r>
              <w:t>Statutul</w:t>
            </w:r>
          </w:p>
          <w:p w14:paraId="37650944">
            <w:pPr>
              <w:pStyle w:val="61"/>
              <w:autoSpaceDE w:val="0"/>
              <w:autoSpaceDN w:val="0"/>
              <w:adjustRightInd w:val="0"/>
              <w:spacing w:after="160" w:line="276" w:lineRule="auto"/>
              <w:jc w:val="center"/>
              <w:rPr>
                <w:rFonts w:ascii="Times New Roman" w:hAnsi="Times New Roman" w:cs="Times New Roman"/>
                <w:color w:val="000000"/>
              </w:rPr>
            </w:pPr>
            <w:r>
              <w:t>Dacă da pentru orice</w:t>
            </w:r>
          </w:p>
        </w:tc>
        <w:tc>
          <w:tcPr>
            <w:tcW w:w="3158" w:type="dxa"/>
          </w:tcPr>
          <w:p w14:paraId="3A214CB2">
            <w:pPr>
              <w:pStyle w:val="61"/>
              <w:autoSpaceDE w:val="0"/>
              <w:autoSpaceDN w:val="0"/>
              <w:adjustRightInd w:val="0"/>
              <w:spacing w:after="160" w:line="276" w:lineRule="auto"/>
              <w:jc w:val="both"/>
              <w:rPr>
                <w:rFonts w:ascii="Times New Roman" w:hAnsi="Times New Roman" w:cs="Times New Roman"/>
                <w:color w:val="000000"/>
              </w:rPr>
            </w:pPr>
            <w:r>
              <w:t>Referințe suplimentare</w:t>
            </w:r>
          </w:p>
        </w:tc>
      </w:tr>
      <w:tr w14:paraId="18B6A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42F6E82A">
            <w:pPr>
              <w:autoSpaceDE w:val="0"/>
              <w:autoSpaceDN w:val="0"/>
              <w:adjustRightInd w:val="0"/>
              <w:spacing w:after="0" w:line="276" w:lineRule="auto"/>
              <w:jc w:val="both"/>
              <w:rPr>
                <w:rFonts w:ascii="Times New Roman" w:hAnsi="Times New Roman" w:cs="Times New Roman"/>
                <w:color w:val="000000"/>
              </w:rPr>
            </w:pPr>
          </w:p>
        </w:tc>
        <w:tc>
          <w:tcPr>
            <w:tcW w:w="2340" w:type="dxa"/>
          </w:tcPr>
          <w:p w14:paraId="1535799D">
            <w:pPr>
              <w:pStyle w:val="80"/>
              <w:numPr>
                <w:ilvl w:val="0"/>
                <w:numId w:val="11"/>
              </w:numPr>
              <w:autoSpaceDE w:val="0"/>
              <w:autoSpaceDN w:val="0"/>
              <w:adjustRightInd w:val="0"/>
              <w:spacing w:after="0" w:line="276" w:lineRule="auto"/>
              <w:ind w:left="450"/>
              <w:rPr>
                <w:rFonts w:ascii="Times New Roman" w:hAnsi="Times New Roman" w:cs="Times New Roman"/>
                <w:color w:val="000000"/>
              </w:rPr>
            </w:pPr>
            <w:r>
              <w:t xml:space="preserve">Reabilitarea clădirilor </w:t>
            </w:r>
          </w:p>
          <w:p w14:paraId="3F873428">
            <w:pPr>
              <w:pStyle w:val="80"/>
              <w:numPr>
                <w:ilvl w:val="0"/>
                <w:numId w:val="11"/>
              </w:numPr>
              <w:autoSpaceDE w:val="0"/>
              <w:autoSpaceDN w:val="0"/>
              <w:adjustRightInd w:val="0"/>
              <w:spacing w:after="160" w:line="276" w:lineRule="auto"/>
              <w:ind w:left="450"/>
              <w:rPr>
                <w:rFonts w:ascii="Times New Roman" w:hAnsi="Times New Roman" w:cs="Times New Roman"/>
                <w:color w:val="000000"/>
              </w:rPr>
            </w:pPr>
            <w:r>
              <w:t xml:space="preserve"> Traficul de vehicule specific sitului</w:t>
            </w:r>
          </w:p>
          <w:p w14:paraId="40E8BE3E">
            <w:pPr>
              <w:pStyle w:val="80"/>
              <w:numPr>
                <w:ilvl w:val="0"/>
                <w:numId w:val="11"/>
              </w:numPr>
              <w:autoSpaceDE w:val="0"/>
              <w:autoSpaceDN w:val="0"/>
              <w:adjustRightInd w:val="0"/>
              <w:spacing w:after="160" w:line="276" w:lineRule="auto"/>
              <w:ind w:left="450"/>
              <w:rPr>
                <w:rFonts w:ascii="Times New Roman" w:hAnsi="Times New Roman" w:cs="Times New Roman"/>
                <w:color w:val="000000"/>
              </w:rPr>
            </w:pPr>
            <w:r>
              <w:t>Creșterea prafului și a zgomotului de la demolări și/sau construcții</w:t>
            </w:r>
          </w:p>
          <w:p w14:paraId="3BD736F3">
            <w:pPr>
              <w:pStyle w:val="80"/>
              <w:numPr>
                <w:ilvl w:val="0"/>
                <w:numId w:val="11"/>
              </w:numPr>
              <w:autoSpaceDE w:val="0"/>
              <w:autoSpaceDN w:val="0"/>
              <w:adjustRightInd w:val="0"/>
              <w:spacing w:after="160" w:line="276" w:lineRule="auto"/>
              <w:ind w:left="450"/>
              <w:rPr>
                <w:rFonts w:ascii="Times New Roman" w:hAnsi="Times New Roman" w:cs="Times New Roman"/>
                <w:color w:val="000000"/>
              </w:rPr>
            </w:pPr>
            <w:r>
              <w:t xml:space="preserve">Deșeuri din construcții </w:t>
            </w:r>
          </w:p>
          <w:p w14:paraId="4A63EDBB">
            <w:pPr>
              <w:autoSpaceDE w:val="0"/>
              <w:autoSpaceDN w:val="0"/>
              <w:adjustRightInd w:val="0"/>
              <w:spacing w:after="160" w:line="276" w:lineRule="auto"/>
              <w:jc w:val="both"/>
              <w:rPr>
                <w:rFonts w:ascii="Times New Roman" w:hAnsi="Times New Roman" w:cs="Times New Roman"/>
                <w:color w:val="000000"/>
              </w:rPr>
            </w:pPr>
          </w:p>
        </w:tc>
        <w:tc>
          <w:tcPr>
            <w:tcW w:w="1732" w:type="dxa"/>
          </w:tcPr>
          <w:p w14:paraId="76A3F686">
            <w:pPr>
              <w:pStyle w:val="61"/>
              <w:autoSpaceDE w:val="0"/>
              <w:autoSpaceDN w:val="0"/>
              <w:adjustRightInd w:val="0"/>
              <w:spacing w:after="0" w:line="276" w:lineRule="auto"/>
              <w:jc w:val="both"/>
              <w:rPr>
                <w:rFonts w:ascii="Times New Roman" w:hAnsi="Times New Roman" w:cs="Times New Roman"/>
                <w:color w:val="000000"/>
              </w:rPr>
            </w:pPr>
            <w:r>
              <w:t>[ ] Da [ X] Nu</w:t>
            </w:r>
          </w:p>
        </w:tc>
        <w:tc>
          <w:tcPr>
            <w:tcW w:w="3158" w:type="dxa"/>
          </w:tcPr>
          <w:p w14:paraId="0B35597C">
            <w:pPr>
              <w:pStyle w:val="61"/>
              <w:autoSpaceDE w:val="0"/>
              <w:autoSpaceDN w:val="0"/>
              <w:adjustRightInd w:val="0"/>
              <w:spacing w:after="0" w:line="276" w:lineRule="auto"/>
              <w:jc w:val="both"/>
              <w:rPr>
                <w:rFonts w:ascii="Times New Roman" w:hAnsi="Times New Roman" w:cs="Times New Roman"/>
                <w:color w:val="000000"/>
              </w:rPr>
            </w:pPr>
            <w:r>
              <w:t xml:space="preserve">A se vedea secțiunea </w:t>
            </w:r>
            <w:r>
              <w:rPr>
                <w:b/>
              </w:rPr>
              <w:t>B</w:t>
            </w:r>
            <w:r>
              <w:t xml:space="preserve"> de mai jos</w:t>
            </w:r>
          </w:p>
        </w:tc>
      </w:tr>
      <w:tr w14:paraId="0D6AD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31FC6163">
            <w:pPr>
              <w:autoSpaceDE w:val="0"/>
              <w:autoSpaceDN w:val="0"/>
              <w:adjustRightInd w:val="0"/>
              <w:spacing w:after="0" w:line="276" w:lineRule="auto"/>
              <w:jc w:val="both"/>
              <w:rPr>
                <w:rFonts w:ascii="Times New Roman" w:hAnsi="Times New Roman" w:cs="Times New Roman"/>
                <w:color w:val="000000"/>
              </w:rPr>
            </w:pPr>
          </w:p>
        </w:tc>
        <w:tc>
          <w:tcPr>
            <w:tcW w:w="2340" w:type="dxa"/>
          </w:tcPr>
          <w:p w14:paraId="3A30D547">
            <w:pPr>
              <w:pStyle w:val="61"/>
              <w:autoSpaceDE w:val="0"/>
              <w:autoSpaceDN w:val="0"/>
              <w:adjustRightInd w:val="0"/>
              <w:spacing w:after="0" w:line="276" w:lineRule="auto"/>
              <w:rPr>
                <w:rFonts w:ascii="Times New Roman" w:hAnsi="Times New Roman" w:cs="Times New Roman"/>
                <w:color w:val="000000"/>
              </w:rPr>
            </w:pPr>
            <w:r>
              <w:t xml:space="preserve">Sistem individual de tratare a apelor reziduale </w:t>
            </w:r>
          </w:p>
          <w:p w14:paraId="7E72D51D">
            <w:pPr>
              <w:autoSpaceDE w:val="0"/>
              <w:autoSpaceDN w:val="0"/>
              <w:adjustRightInd w:val="0"/>
              <w:spacing w:after="160" w:line="276" w:lineRule="auto"/>
              <w:jc w:val="both"/>
              <w:rPr>
                <w:rFonts w:ascii="Times New Roman" w:hAnsi="Times New Roman" w:cs="Times New Roman"/>
                <w:color w:val="000000"/>
              </w:rPr>
            </w:pPr>
          </w:p>
          <w:p w14:paraId="1666AEF3">
            <w:pPr>
              <w:pStyle w:val="80"/>
              <w:numPr>
                <w:ilvl w:val="0"/>
                <w:numId w:val="12"/>
              </w:numPr>
              <w:autoSpaceDE w:val="0"/>
              <w:autoSpaceDN w:val="0"/>
              <w:adjustRightInd w:val="0"/>
              <w:spacing w:after="160" w:line="276" w:lineRule="auto"/>
              <w:ind w:left="450"/>
              <w:jc w:val="both"/>
              <w:rPr>
                <w:rFonts w:ascii="Times New Roman" w:hAnsi="Times New Roman" w:cs="Times New Roman"/>
                <w:color w:val="000000"/>
              </w:rPr>
            </w:pPr>
            <w:r>
              <w:t>Efluenți și/sau evacuări în apele receptoare</w:t>
            </w:r>
          </w:p>
        </w:tc>
        <w:tc>
          <w:tcPr>
            <w:tcW w:w="1732" w:type="dxa"/>
          </w:tcPr>
          <w:p w14:paraId="7C526C07">
            <w:pPr>
              <w:pStyle w:val="61"/>
              <w:autoSpaceDE w:val="0"/>
              <w:autoSpaceDN w:val="0"/>
              <w:adjustRightInd w:val="0"/>
              <w:spacing w:after="0" w:line="276" w:lineRule="auto"/>
              <w:jc w:val="both"/>
              <w:rPr>
                <w:rFonts w:ascii="Times New Roman" w:hAnsi="Times New Roman" w:cs="Times New Roman"/>
                <w:color w:val="000000"/>
              </w:rPr>
            </w:pPr>
            <w:r>
              <w:t>] Da [[X] Nu</w:t>
            </w:r>
          </w:p>
        </w:tc>
        <w:tc>
          <w:tcPr>
            <w:tcW w:w="3158" w:type="dxa"/>
          </w:tcPr>
          <w:p w14:paraId="01073AE3">
            <w:pPr>
              <w:pStyle w:val="61"/>
              <w:autoSpaceDE w:val="0"/>
              <w:autoSpaceDN w:val="0"/>
              <w:adjustRightInd w:val="0"/>
              <w:spacing w:after="0" w:line="276" w:lineRule="auto"/>
              <w:jc w:val="both"/>
              <w:rPr>
                <w:rFonts w:ascii="Times New Roman" w:hAnsi="Times New Roman" w:cs="Times New Roman"/>
                <w:color w:val="000000"/>
              </w:rPr>
            </w:pPr>
            <w:r>
              <w:t xml:space="preserve">A se vedea secțiunea </w:t>
            </w:r>
            <w:r>
              <w:rPr>
                <w:b/>
              </w:rPr>
              <w:t>C</w:t>
            </w:r>
            <w:r>
              <w:t xml:space="preserve"> de mai jos</w:t>
            </w:r>
          </w:p>
        </w:tc>
      </w:tr>
      <w:tr w14:paraId="711AE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0F7BD7CA">
            <w:pPr>
              <w:autoSpaceDE w:val="0"/>
              <w:autoSpaceDN w:val="0"/>
              <w:adjustRightInd w:val="0"/>
              <w:spacing w:after="0" w:line="276" w:lineRule="auto"/>
              <w:jc w:val="both"/>
              <w:rPr>
                <w:rFonts w:ascii="Times New Roman" w:hAnsi="Times New Roman" w:cs="Times New Roman"/>
                <w:color w:val="000000"/>
              </w:rPr>
            </w:pPr>
          </w:p>
        </w:tc>
        <w:tc>
          <w:tcPr>
            <w:tcW w:w="2340" w:type="dxa"/>
          </w:tcPr>
          <w:p w14:paraId="1D120912">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Materiale periculoase sau toxice</w:t>
            </w:r>
            <w:r>
              <w:rPr>
                <w:rStyle w:val="18"/>
                <w:rFonts w:ascii="Times New Roman" w:hAnsi="Times New Roman" w:cs="Times New Roman"/>
                <w:color w:val="000000"/>
              </w:rPr>
              <w:footnoteReference w:id="1"/>
            </w:r>
            <w:r>
              <w:rPr>
                <w:rFonts w:ascii="Times New Roman" w:hAnsi="Times New Roman" w:cs="Times New Roman"/>
                <w:color w:val="000000"/>
              </w:rPr>
              <w:t xml:space="preserve"> </w:t>
            </w:r>
          </w:p>
          <w:p w14:paraId="57F2C337">
            <w:pPr>
              <w:pStyle w:val="80"/>
              <w:numPr>
                <w:ilvl w:val="0"/>
                <w:numId w:val="13"/>
              </w:numPr>
              <w:autoSpaceDE w:val="0"/>
              <w:autoSpaceDN w:val="0"/>
              <w:adjustRightInd w:val="0"/>
              <w:spacing w:after="0" w:line="276" w:lineRule="auto"/>
              <w:ind w:left="450"/>
              <w:rPr>
                <w:rFonts w:ascii="Times New Roman" w:hAnsi="Times New Roman" w:cs="Times New Roman"/>
                <w:color w:val="000000"/>
              </w:rPr>
            </w:pPr>
            <w:r>
              <w:t>Îndepărtarea și eliminarea deșeurilor toxice și/sau periculoase din demolări și/sau din construcții Depozitarea uleiurilor și lubrifianților pentru mașini</w:t>
            </w:r>
          </w:p>
        </w:tc>
        <w:tc>
          <w:tcPr>
            <w:tcW w:w="1732" w:type="dxa"/>
          </w:tcPr>
          <w:p w14:paraId="1738005B">
            <w:pPr>
              <w:pStyle w:val="61"/>
              <w:autoSpaceDE w:val="0"/>
              <w:autoSpaceDN w:val="0"/>
              <w:adjustRightInd w:val="0"/>
              <w:spacing w:after="0" w:line="276" w:lineRule="auto"/>
              <w:jc w:val="both"/>
              <w:rPr>
                <w:rFonts w:ascii="Times New Roman" w:hAnsi="Times New Roman" w:cs="Times New Roman"/>
                <w:color w:val="000000"/>
              </w:rPr>
            </w:pPr>
            <w:r>
              <w:t>[ ] Da [X] Nu</w:t>
            </w:r>
          </w:p>
        </w:tc>
        <w:tc>
          <w:tcPr>
            <w:tcW w:w="3158" w:type="dxa"/>
          </w:tcPr>
          <w:p w14:paraId="5A7261B3">
            <w:pPr>
              <w:pStyle w:val="61"/>
              <w:autoSpaceDE w:val="0"/>
              <w:autoSpaceDN w:val="0"/>
              <w:adjustRightInd w:val="0"/>
              <w:spacing w:after="0" w:line="276" w:lineRule="auto"/>
              <w:jc w:val="both"/>
              <w:rPr>
                <w:rFonts w:ascii="Times New Roman" w:hAnsi="Times New Roman" w:cs="Times New Roman"/>
                <w:color w:val="000000"/>
              </w:rPr>
            </w:pPr>
            <w:r>
              <w:t xml:space="preserve">A se vedea secțiunea </w:t>
            </w:r>
            <w:r>
              <w:rPr>
                <w:b/>
              </w:rPr>
              <w:t>D</w:t>
            </w:r>
            <w:r>
              <w:t xml:space="preserve"> de mai jos.</w:t>
            </w:r>
          </w:p>
        </w:tc>
      </w:tr>
      <w:tr w14:paraId="34760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2FB04526">
            <w:pPr>
              <w:autoSpaceDE w:val="0"/>
              <w:autoSpaceDN w:val="0"/>
              <w:adjustRightInd w:val="0"/>
              <w:spacing w:after="0" w:line="276" w:lineRule="auto"/>
              <w:jc w:val="both"/>
              <w:rPr>
                <w:rFonts w:ascii="Times New Roman" w:hAnsi="Times New Roman" w:cs="Times New Roman"/>
                <w:color w:val="000000"/>
              </w:rPr>
            </w:pPr>
          </w:p>
        </w:tc>
        <w:tc>
          <w:tcPr>
            <w:tcW w:w="2340" w:type="dxa"/>
          </w:tcPr>
          <w:p w14:paraId="1859A2A4">
            <w:pPr>
              <w:pStyle w:val="61"/>
              <w:autoSpaceDE w:val="0"/>
              <w:autoSpaceDN w:val="0"/>
              <w:adjustRightInd w:val="0"/>
              <w:spacing w:after="0" w:line="276" w:lineRule="auto"/>
              <w:rPr>
                <w:rFonts w:ascii="Times New Roman" w:hAnsi="Times New Roman" w:cs="Times New Roman"/>
                <w:color w:val="000000"/>
              </w:rPr>
            </w:pPr>
            <w:r>
              <w:t>Siguranța traficului și a pietonilor</w:t>
            </w:r>
          </w:p>
          <w:p w14:paraId="41C12D44">
            <w:pPr>
              <w:pStyle w:val="80"/>
              <w:numPr>
                <w:ilvl w:val="0"/>
                <w:numId w:val="14"/>
              </w:numPr>
              <w:autoSpaceDE w:val="0"/>
              <w:autoSpaceDN w:val="0"/>
              <w:adjustRightInd w:val="0"/>
              <w:spacing w:after="0" w:line="276" w:lineRule="auto"/>
              <w:ind w:left="540"/>
              <w:rPr>
                <w:rFonts w:ascii="Times New Roman" w:hAnsi="Times New Roman" w:cs="Times New Roman"/>
                <w:color w:val="000000"/>
              </w:rPr>
            </w:pPr>
            <w:r>
              <w:t xml:space="preserve">Traficul de vehicule specific sitului </w:t>
            </w:r>
          </w:p>
          <w:p w14:paraId="2AF272AE">
            <w:pPr>
              <w:pStyle w:val="80"/>
              <w:numPr>
                <w:ilvl w:val="0"/>
                <w:numId w:val="14"/>
              </w:numPr>
              <w:autoSpaceDE w:val="0"/>
              <w:autoSpaceDN w:val="0"/>
              <w:adjustRightInd w:val="0"/>
              <w:spacing w:after="160" w:line="276" w:lineRule="auto"/>
              <w:ind w:left="540"/>
              <w:jc w:val="both"/>
              <w:rPr>
                <w:rFonts w:ascii="Times New Roman" w:hAnsi="Times New Roman" w:cs="Times New Roman"/>
                <w:color w:val="000000"/>
              </w:rPr>
            </w:pPr>
            <w:r>
              <w:t xml:space="preserve"> Situl se află într-o zonă populată</w:t>
            </w:r>
          </w:p>
        </w:tc>
        <w:tc>
          <w:tcPr>
            <w:tcW w:w="1732" w:type="dxa"/>
          </w:tcPr>
          <w:p w14:paraId="3226430C">
            <w:pPr>
              <w:pStyle w:val="61"/>
              <w:autoSpaceDE w:val="0"/>
              <w:autoSpaceDN w:val="0"/>
              <w:adjustRightInd w:val="0"/>
              <w:spacing w:after="0" w:line="276" w:lineRule="auto"/>
              <w:jc w:val="both"/>
              <w:rPr>
                <w:rFonts w:ascii="Times New Roman" w:hAnsi="Times New Roman" w:cs="Times New Roman"/>
                <w:color w:val="000000"/>
              </w:rPr>
            </w:pPr>
            <w:r>
              <w:t>[ ] Da [X] Nu</w:t>
            </w:r>
          </w:p>
        </w:tc>
        <w:tc>
          <w:tcPr>
            <w:tcW w:w="3158" w:type="dxa"/>
          </w:tcPr>
          <w:p w14:paraId="00E6E1EE">
            <w:pPr>
              <w:pStyle w:val="61"/>
              <w:autoSpaceDE w:val="0"/>
              <w:autoSpaceDN w:val="0"/>
              <w:adjustRightInd w:val="0"/>
              <w:spacing w:after="160" w:line="276" w:lineRule="auto"/>
              <w:jc w:val="both"/>
              <w:rPr>
                <w:rFonts w:ascii="Times New Roman" w:hAnsi="Times New Roman" w:cs="Times New Roman"/>
                <w:color w:val="000000"/>
              </w:rPr>
            </w:pPr>
            <w:r>
              <w:t xml:space="preserve">A se vedea secțiunea </w:t>
            </w:r>
            <w:r>
              <w:rPr>
                <w:b/>
              </w:rPr>
              <w:t>E</w:t>
            </w:r>
            <w:r>
              <w:t xml:space="preserve"> de mai jos.</w:t>
            </w:r>
          </w:p>
        </w:tc>
      </w:tr>
      <w:tr w14:paraId="4F6C3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7" w:hRule="atLeast"/>
        </w:trPr>
        <w:tc>
          <w:tcPr>
            <w:tcW w:w="2120" w:type="dxa"/>
          </w:tcPr>
          <w:p w14:paraId="76092242">
            <w:pPr>
              <w:autoSpaceDE w:val="0"/>
              <w:autoSpaceDN w:val="0"/>
              <w:adjustRightInd w:val="0"/>
              <w:spacing w:after="0" w:line="276" w:lineRule="auto"/>
              <w:jc w:val="both"/>
              <w:rPr>
                <w:rFonts w:ascii="Times New Roman" w:hAnsi="Times New Roman" w:cs="Times New Roman"/>
                <w:color w:val="000000"/>
              </w:rPr>
            </w:pPr>
          </w:p>
        </w:tc>
        <w:tc>
          <w:tcPr>
            <w:tcW w:w="2340" w:type="dxa"/>
          </w:tcPr>
          <w:p w14:paraId="16E0B8B8">
            <w:pPr>
              <w:pStyle w:val="61"/>
              <w:autoSpaceDE w:val="0"/>
              <w:autoSpaceDN w:val="0"/>
              <w:adjustRightInd w:val="0"/>
              <w:spacing w:after="0" w:line="276" w:lineRule="auto"/>
              <w:rPr>
                <w:rFonts w:ascii="Times New Roman" w:hAnsi="Times New Roman" w:cs="Times New Roman"/>
                <w:color w:val="000000"/>
              </w:rPr>
            </w:pPr>
            <w:r>
              <w:t>Impactul social</w:t>
            </w:r>
          </w:p>
          <w:p w14:paraId="1284E4A0">
            <w:pPr>
              <w:pStyle w:val="80"/>
              <w:numPr>
                <w:ilvl w:val="1"/>
                <w:numId w:val="15"/>
              </w:numPr>
              <w:tabs>
                <w:tab w:val="clear" w:pos="1440"/>
              </w:tabs>
              <w:autoSpaceDE w:val="0"/>
              <w:autoSpaceDN w:val="0"/>
              <w:adjustRightInd w:val="0"/>
              <w:spacing w:after="0" w:line="276" w:lineRule="auto"/>
              <w:ind w:left="320" w:hanging="178"/>
              <w:rPr>
                <w:rFonts w:ascii="Times New Roman" w:hAnsi="Times New Roman" w:cs="Times New Roman"/>
                <w:color w:val="000000"/>
              </w:rPr>
            </w:pPr>
            <w:r>
              <w:t>Protecția lucrătorilor</w:t>
            </w:r>
          </w:p>
          <w:p w14:paraId="3B6F589D">
            <w:pPr>
              <w:pStyle w:val="80"/>
              <w:numPr>
                <w:ilvl w:val="1"/>
                <w:numId w:val="15"/>
              </w:numPr>
              <w:tabs>
                <w:tab w:val="clear" w:pos="1440"/>
              </w:tabs>
              <w:autoSpaceDE w:val="0"/>
              <w:autoSpaceDN w:val="0"/>
              <w:adjustRightInd w:val="0"/>
              <w:spacing w:after="0" w:line="276" w:lineRule="auto"/>
              <w:ind w:left="320" w:hanging="178"/>
              <w:rPr>
                <w:rFonts w:ascii="Times New Roman" w:hAnsi="Times New Roman" w:cs="Times New Roman"/>
                <w:color w:val="000000"/>
              </w:rPr>
            </w:pPr>
            <w:r>
              <w:t xml:space="preserve">Riscul traficului de persoane </w:t>
            </w:r>
          </w:p>
          <w:p w14:paraId="5774272D">
            <w:pPr>
              <w:pStyle w:val="80"/>
              <w:numPr>
                <w:ilvl w:val="1"/>
                <w:numId w:val="15"/>
              </w:numPr>
              <w:tabs>
                <w:tab w:val="clear" w:pos="1440"/>
              </w:tabs>
              <w:autoSpaceDE w:val="0"/>
              <w:autoSpaceDN w:val="0"/>
              <w:adjustRightInd w:val="0"/>
              <w:spacing w:after="0" w:line="276" w:lineRule="auto"/>
              <w:ind w:left="320" w:hanging="178"/>
              <w:rPr>
                <w:rFonts w:ascii="Times New Roman" w:hAnsi="Times New Roman" w:cs="Times New Roman"/>
                <w:color w:val="000000"/>
              </w:rPr>
            </w:pPr>
            <w:r>
              <w:t xml:space="preserve">Implicarea în procesul decizional </w:t>
            </w:r>
          </w:p>
        </w:tc>
        <w:tc>
          <w:tcPr>
            <w:tcW w:w="1732" w:type="dxa"/>
          </w:tcPr>
          <w:p w14:paraId="1E0FC417">
            <w:pPr>
              <w:pStyle w:val="61"/>
              <w:autoSpaceDE w:val="0"/>
              <w:autoSpaceDN w:val="0"/>
              <w:adjustRightInd w:val="0"/>
              <w:spacing w:after="0" w:line="276" w:lineRule="auto"/>
              <w:jc w:val="both"/>
              <w:rPr>
                <w:rFonts w:ascii="Times New Roman" w:hAnsi="Times New Roman" w:cs="Times New Roman"/>
                <w:color w:val="000000"/>
              </w:rPr>
            </w:pPr>
            <w:r>
              <w:t>[ ] Da [X] Nu</w:t>
            </w:r>
          </w:p>
        </w:tc>
        <w:tc>
          <w:tcPr>
            <w:tcW w:w="3158" w:type="dxa"/>
          </w:tcPr>
          <w:p w14:paraId="5DE2588E">
            <w:pPr>
              <w:pStyle w:val="61"/>
              <w:autoSpaceDE w:val="0"/>
              <w:autoSpaceDN w:val="0"/>
              <w:adjustRightInd w:val="0"/>
              <w:spacing w:after="0" w:line="276" w:lineRule="auto"/>
              <w:jc w:val="both"/>
              <w:rPr>
                <w:rFonts w:ascii="Times New Roman" w:hAnsi="Times New Roman" w:cs="Times New Roman"/>
                <w:color w:val="000000"/>
              </w:rPr>
            </w:pPr>
            <w:r>
              <w:t xml:space="preserve">A se vedea secțiunea </w:t>
            </w:r>
            <w:r>
              <w:rPr>
                <w:b/>
              </w:rPr>
              <w:t xml:space="preserve">F </w:t>
            </w:r>
            <w:r>
              <w:t>de mai jos.</w:t>
            </w:r>
          </w:p>
        </w:tc>
      </w:tr>
    </w:tbl>
    <w:p w14:paraId="300E70B8">
      <w:pPr>
        <w:autoSpaceDE w:val="0"/>
        <w:autoSpaceDN w:val="0"/>
        <w:adjustRightInd w:val="0"/>
        <w:spacing w:after="0" w:line="276" w:lineRule="auto"/>
        <w:jc w:val="both"/>
        <w:rPr>
          <w:rFonts w:ascii="Times New Roman" w:hAnsi="Times New Roman" w:cs="Times New Roman"/>
          <w:color w:val="000000"/>
        </w:rPr>
      </w:pPr>
    </w:p>
    <w:p w14:paraId="3507074B">
      <w:pPr>
        <w:autoSpaceDE w:val="0"/>
        <w:autoSpaceDN w:val="0"/>
        <w:adjustRightInd w:val="0"/>
        <w:spacing w:after="0" w:line="276" w:lineRule="auto"/>
        <w:jc w:val="both"/>
        <w:rPr>
          <w:rFonts w:ascii="Times New Roman" w:hAnsi="Times New Roman" w:cs="Times New Roman"/>
          <w:color w:val="000000"/>
        </w:rPr>
      </w:pPr>
    </w:p>
    <w:tbl>
      <w:tblPr>
        <w:tblStyle w:val="24"/>
        <w:tblW w:w="9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4"/>
        <w:gridCol w:w="1817"/>
        <w:gridCol w:w="4043"/>
        <w:gridCol w:w="2134"/>
      </w:tblGrid>
      <w:tr w14:paraId="2C5EF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3" w:type="dxa"/>
            <w:gridSpan w:val="3"/>
            <w:shd w:val="clear" w:color="auto" w:fill="C1E4F5" w:themeFill="accent1" w:themeFillTint="33"/>
          </w:tcPr>
          <w:p w14:paraId="545A6EF1">
            <w:pPr>
              <w:pStyle w:val="68"/>
              <w:autoSpaceDE w:val="0"/>
              <w:autoSpaceDN w:val="0"/>
              <w:adjustRightInd w:val="0"/>
              <w:spacing w:after="160" w:line="276" w:lineRule="auto"/>
              <w:jc w:val="both"/>
              <w:rPr>
                <w:rFonts w:hint="default" w:ascii="Times New Roman" w:hAnsi="Times New Roman" w:cs="Times New Roman"/>
                <w:color w:val="000000"/>
                <w:lang w:val="ro-RO"/>
              </w:rPr>
            </w:pPr>
            <w:bookmarkStart w:id="16" w:name="_Hlk197892242"/>
            <w:bookmarkStart w:id="17" w:name="_Hlk197893965"/>
            <w:r>
              <w:t xml:space="preserve">PARTEA 3: MĂSURI DE </w:t>
            </w:r>
            <w:r>
              <w:rPr>
                <w:rFonts w:hint="default"/>
                <w:lang w:val="ro-RO"/>
              </w:rPr>
              <w:t>SOLUȚIONARE</w:t>
            </w:r>
          </w:p>
        </w:tc>
        <w:tc>
          <w:tcPr>
            <w:tcW w:w="1985" w:type="dxa"/>
            <w:shd w:val="clear" w:color="auto" w:fill="C1E4F5" w:themeFill="accent1" w:themeFillTint="33"/>
          </w:tcPr>
          <w:p w14:paraId="3E3AD0C1">
            <w:pPr>
              <w:autoSpaceDE w:val="0"/>
              <w:autoSpaceDN w:val="0"/>
              <w:adjustRightInd w:val="0"/>
              <w:spacing w:after="0" w:line="276" w:lineRule="auto"/>
              <w:jc w:val="both"/>
              <w:rPr>
                <w:rFonts w:ascii="Times New Roman" w:hAnsi="Times New Roman" w:cs="Times New Roman"/>
                <w:b/>
                <w:bCs/>
                <w:color w:val="000000"/>
              </w:rPr>
            </w:pPr>
          </w:p>
        </w:tc>
      </w:tr>
      <w:tr w14:paraId="2784B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523B9630">
            <w:pPr>
              <w:pStyle w:val="68"/>
              <w:autoSpaceDE w:val="0"/>
              <w:autoSpaceDN w:val="0"/>
              <w:adjustRightInd w:val="0"/>
              <w:spacing w:after="0" w:line="276" w:lineRule="auto"/>
              <w:jc w:val="both"/>
              <w:rPr>
                <w:rFonts w:ascii="Times New Roman" w:hAnsi="Times New Roman" w:cs="Times New Roman"/>
                <w:b/>
                <w:bCs/>
                <w:color w:val="000000"/>
              </w:rPr>
            </w:pPr>
            <w:r>
              <w:t>ACTIVITATE</w:t>
            </w:r>
          </w:p>
        </w:tc>
        <w:tc>
          <w:tcPr>
            <w:tcW w:w="1663" w:type="dxa"/>
          </w:tcPr>
          <w:p w14:paraId="32A1CF53">
            <w:pPr>
              <w:autoSpaceDE w:val="0"/>
              <w:autoSpaceDN w:val="0"/>
              <w:adjustRightInd w:val="0"/>
              <w:spacing w:after="0" w:line="276" w:lineRule="auto"/>
              <w:jc w:val="both"/>
              <w:rPr>
                <w:rFonts w:ascii="Times New Roman" w:hAnsi="Times New Roman" w:cs="Times New Roman"/>
                <w:b/>
                <w:bCs/>
                <w:color w:val="000000"/>
              </w:rPr>
            </w:pPr>
          </w:p>
          <w:p w14:paraId="52FD8A2D">
            <w:pPr>
              <w:pStyle w:val="68"/>
              <w:autoSpaceDE w:val="0"/>
              <w:autoSpaceDN w:val="0"/>
              <w:adjustRightInd w:val="0"/>
              <w:spacing w:after="0" w:line="276" w:lineRule="auto"/>
              <w:jc w:val="both"/>
              <w:rPr>
                <w:rFonts w:ascii="Times New Roman" w:hAnsi="Times New Roman" w:cs="Times New Roman"/>
                <w:b/>
                <w:bCs/>
                <w:color w:val="000000"/>
              </w:rPr>
            </w:pPr>
            <w:r>
              <w:t>IMPACT</w:t>
            </w:r>
          </w:p>
        </w:tc>
        <w:tc>
          <w:tcPr>
            <w:tcW w:w="4537" w:type="dxa"/>
          </w:tcPr>
          <w:p w14:paraId="63AAB8E9">
            <w:pPr>
              <w:pStyle w:val="68"/>
              <w:autoSpaceDE w:val="0"/>
              <w:autoSpaceDN w:val="0"/>
              <w:adjustRightInd w:val="0"/>
              <w:spacing w:after="0" w:line="276" w:lineRule="auto"/>
              <w:jc w:val="both"/>
              <w:rPr>
                <w:rFonts w:ascii="Times New Roman" w:hAnsi="Times New Roman" w:cs="Times New Roman"/>
                <w:b/>
                <w:bCs/>
                <w:color w:val="000000"/>
              </w:rPr>
            </w:pPr>
            <w:r>
              <w:t>PRACTICI BUNE</w:t>
            </w:r>
            <w:r>
              <w:rPr>
                <w:rFonts w:hint="default"/>
                <w:lang w:val="ro-RO"/>
              </w:rPr>
              <w:t xml:space="preserve"> PENTRU </w:t>
            </w:r>
            <w:r>
              <w:t xml:space="preserve">MĂSURI DE </w:t>
            </w:r>
            <w:r>
              <w:rPr>
                <w:rFonts w:hint="default"/>
                <w:lang w:val="ro-RO"/>
              </w:rPr>
              <w:t xml:space="preserve">SOLUȚIONARE </w:t>
            </w:r>
            <w:r>
              <w:t xml:space="preserve"> </w:t>
            </w:r>
          </w:p>
        </w:tc>
        <w:tc>
          <w:tcPr>
            <w:tcW w:w="1985" w:type="dxa"/>
          </w:tcPr>
          <w:p w14:paraId="23F1C7F8">
            <w:pPr>
              <w:pStyle w:val="68"/>
              <w:autoSpaceDE w:val="0"/>
              <w:autoSpaceDN w:val="0"/>
              <w:adjustRightInd w:val="0"/>
              <w:spacing w:after="0" w:line="276" w:lineRule="auto"/>
              <w:jc w:val="both"/>
              <w:rPr>
                <w:rFonts w:ascii="Times New Roman" w:hAnsi="Times New Roman" w:cs="Times New Roman"/>
                <w:b/>
                <w:bCs/>
                <w:color w:val="000000"/>
              </w:rPr>
            </w:pPr>
            <w:r>
              <w:t xml:space="preserve">ENTITATEA RESPONSABILĂ PENTRU </w:t>
            </w:r>
            <w:r>
              <w:rPr>
                <w:rFonts w:hint="default"/>
                <w:lang w:val="ro-RO"/>
              </w:rPr>
              <w:t>IMPLEMENTARE</w:t>
            </w:r>
          </w:p>
        </w:tc>
      </w:tr>
      <w:tr w14:paraId="1C9DF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2979246C">
            <w:pPr>
              <w:pStyle w:val="80"/>
              <w:numPr>
                <w:ilvl w:val="0"/>
                <w:numId w:val="16"/>
              </w:numPr>
              <w:autoSpaceDE w:val="0"/>
              <w:autoSpaceDN w:val="0"/>
              <w:adjustRightInd w:val="0"/>
              <w:spacing w:after="0" w:line="276" w:lineRule="auto"/>
              <w:ind w:left="270" w:hanging="270"/>
              <w:jc w:val="both"/>
              <w:rPr>
                <w:rFonts w:ascii="Times New Roman" w:hAnsi="Times New Roman" w:cs="Times New Roman"/>
                <w:color w:val="000000"/>
              </w:rPr>
            </w:pPr>
            <w:r>
              <w:t xml:space="preserve">Condiții generale </w:t>
            </w:r>
          </w:p>
        </w:tc>
        <w:tc>
          <w:tcPr>
            <w:tcW w:w="1663" w:type="dxa"/>
          </w:tcPr>
          <w:p w14:paraId="27770B18">
            <w:pPr>
              <w:pStyle w:val="61"/>
              <w:autoSpaceDE w:val="0"/>
              <w:autoSpaceDN w:val="0"/>
              <w:adjustRightInd w:val="0"/>
              <w:spacing w:after="0" w:line="276" w:lineRule="auto"/>
              <w:jc w:val="both"/>
              <w:rPr>
                <w:rFonts w:ascii="Times New Roman" w:hAnsi="Times New Roman" w:cs="Times New Roman"/>
                <w:color w:val="000000"/>
              </w:rPr>
            </w:pPr>
            <w:r>
              <w:t>Notificarea și siguranța lucrătorilor</w:t>
            </w:r>
          </w:p>
          <w:p w14:paraId="1CF1529D">
            <w:pPr>
              <w:autoSpaceDE w:val="0"/>
              <w:autoSpaceDN w:val="0"/>
              <w:adjustRightInd w:val="0"/>
              <w:spacing w:after="0" w:line="276" w:lineRule="auto"/>
              <w:jc w:val="both"/>
              <w:rPr>
                <w:rFonts w:ascii="Times New Roman" w:hAnsi="Times New Roman" w:cs="Times New Roman"/>
                <w:color w:val="000000"/>
              </w:rPr>
            </w:pPr>
          </w:p>
          <w:p w14:paraId="70FB2208">
            <w:pPr>
              <w:autoSpaceDE w:val="0"/>
              <w:autoSpaceDN w:val="0"/>
              <w:adjustRightInd w:val="0"/>
              <w:spacing w:after="160" w:line="276" w:lineRule="auto"/>
              <w:jc w:val="both"/>
              <w:rPr>
                <w:rFonts w:ascii="Times New Roman" w:hAnsi="Times New Roman" w:cs="Times New Roman"/>
                <w:color w:val="000000"/>
              </w:rPr>
            </w:pPr>
          </w:p>
        </w:tc>
        <w:tc>
          <w:tcPr>
            <w:tcW w:w="4537" w:type="dxa"/>
          </w:tcPr>
          <w:p w14:paraId="6D55744E">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 xml:space="preserve">Inspectoratele locale de construcții și mediu și comunitățile au fost informate cu privire la activitățile viitoare </w:t>
            </w:r>
          </w:p>
          <w:p w14:paraId="025BC7A8">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 xml:space="preserve">Publicul a fost informat cu privire la opere printr-o notificare corespunzătoare în mass-media și/sau pe site-uri accesibile publicului (inclusiv pe site-ul operelor) </w:t>
            </w:r>
          </w:p>
          <w:p w14:paraId="16071A20">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 xml:space="preserve">Toate autorizațiile necesare din punct de vedere legal (pentru a include, fără a se limita la utilizarea terenurilor, utilizarea resurselor, dumpingul, autorizația de inspecție sanitară) au fost achiziționate pentru construcție și/sau reabilitare </w:t>
            </w:r>
          </w:p>
          <w:p w14:paraId="298209E8">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 xml:space="preserve">Toate lucrările vor fi efectuate într-o manieră sigură și disciplinată, concepută pentru a minimiza impactul asupra rezidenților vecini și a mediului înconjurător. </w:t>
            </w:r>
          </w:p>
          <w:p w14:paraId="7CC2D04F">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EIP ale lucrătorilor vor respecta bunele practici internaționale (întotdeauna hardhats, după caz, măști și ochelari de protecție, hamuri și cizme de siguranță).</w:t>
            </w:r>
          </w:p>
          <w:p w14:paraId="7CADAD20">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Semnalizarea adecvată a amplasamentelor va informa lucrătorii cu privire la normele și reglementările esențiale care trebuie respectate.</w:t>
            </w:r>
          </w:p>
          <w:p w14:paraId="3EDD793B">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Organizarea zonelor de hidratare și de odihnă umbrite pentru lucrători.</w:t>
            </w:r>
          </w:p>
          <w:p w14:paraId="55EA110A">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Desfășurarea instruirii privind siguranța la fața locului.</w:t>
            </w:r>
          </w:p>
          <w:p w14:paraId="3026F295">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Disponibilitatea truselor de prim ajutor, pregătirea pentru situații de urgență și accesul la trusele de prim ajutor.</w:t>
            </w:r>
          </w:p>
          <w:p w14:paraId="76902ACE">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Instalarea panourilor informative pentru proiect pe site-uri.</w:t>
            </w:r>
          </w:p>
          <w:p w14:paraId="789A4425">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Aplicarea Codului de conduită pentru toți lucrătorii și contractanții pentru a asigura un comportament respectuos și sigur la fața locului.</w:t>
            </w:r>
          </w:p>
          <w:p w14:paraId="740E86E9">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Desfășurarea de cursuri de sensibilizare privind SEA/SH (exploatarea sexuală, abuzul și hărțuirea) pentru lucrători.</w:t>
            </w:r>
          </w:p>
          <w:p w14:paraId="58BE6E65">
            <w:pPr>
              <w:pStyle w:val="80"/>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t xml:space="preserve">Asigurarea instituirii unui canal accesibil, confidențial și bine comunicat de depunere a plângerilor atât pentru lucrători, cât și pentru membrii comunității. </w:t>
            </w:r>
          </w:p>
        </w:tc>
        <w:tc>
          <w:tcPr>
            <w:tcW w:w="1985" w:type="dxa"/>
          </w:tcPr>
          <w:p w14:paraId="19BF01CF">
            <w:pPr>
              <w:pStyle w:val="61"/>
              <w:autoSpaceDE w:val="0"/>
              <w:autoSpaceDN w:val="0"/>
              <w:adjustRightInd w:val="0"/>
              <w:spacing w:after="0" w:line="276" w:lineRule="auto"/>
              <w:jc w:val="both"/>
              <w:rPr>
                <w:rFonts w:ascii="Times New Roman" w:hAnsi="Times New Roman" w:cs="Times New Roman"/>
                <w:color w:val="000000"/>
              </w:rPr>
            </w:pPr>
            <w:r>
              <w:t xml:space="preserve">Contractantul </w:t>
            </w:r>
          </w:p>
        </w:tc>
      </w:tr>
      <w:tr w14:paraId="51BA0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733" w:type="dxa"/>
            <w:vMerge w:val="restart"/>
          </w:tcPr>
          <w:p w14:paraId="7229202E">
            <w:pPr>
              <w:pStyle w:val="80"/>
              <w:numPr>
                <w:ilvl w:val="0"/>
                <w:numId w:val="16"/>
              </w:numPr>
              <w:autoSpaceDE w:val="0"/>
              <w:autoSpaceDN w:val="0"/>
              <w:adjustRightInd w:val="0"/>
              <w:spacing w:after="0" w:line="276" w:lineRule="auto"/>
              <w:ind w:left="270" w:hanging="270"/>
              <w:rPr>
                <w:rFonts w:ascii="Times New Roman" w:hAnsi="Times New Roman" w:cs="Times New Roman"/>
                <w:color w:val="000000"/>
              </w:rPr>
            </w:pPr>
            <w:r>
              <w:t>Activități generale de reabilitare și/sau construcții</w:t>
            </w:r>
          </w:p>
        </w:tc>
        <w:tc>
          <w:tcPr>
            <w:tcW w:w="1663" w:type="dxa"/>
          </w:tcPr>
          <w:p w14:paraId="2EC47448">
            <w:pPr>
              <w:pStyle w:val="61"/>
              <w:autoSpaceDE w:val="0"/>
              <w:autoSpaceDN w:val="0"/>
              <w:adjustRightInd w:val="0"/>
              <w:spacing w:after="0" w:line="276" w:lineRule="auto"/>
              <w:jc w:val="both"/>
              <w:rPr>
                <w:rFonts w:ascii="Times New Roman" w:hAnsi="Times New Roman" w:cs="Times New Roman"/>
                <w:color w:val="000000"/>
              </w:rPr>
            </w:pPr>
            <w:r>
              <w:t>Calitatea aerului</w:t>
            </w:r>
          </w:p>
          <w:p w14:paraId="41ADB377">
            <w:pPr>
              <w:autoSpaceDE w:val="0"/>
              <w:autoSpaceDN w:val="0"/>
              <w:adjustRightInd w:val="0"/>
              <w:spacing w:after="0" w:line="276" w:lineRule="auto"/>
              <w:jc w:val="both"/>
              <w:rPr>
                <w:rFonts w:ascii="Times New Roman" w:hAnsi="Times New Roman" w:cs="Times New Roman"/>
                <w:color w:val="000000"/>
              </w:rPr>
            </w:pPr>
          </w:p>
          <w:p w14:paraId="3FCAB6BF">
            <w:pPr>
              <w:autoSpaceDE w:val="0"/>
              <w:autoSpaceDN w:val="0"/>
              <w:adjustRightInd w:val="0"/>
              <w:spacing w:after="160" w:line="276" w:lineRule="auto"/>
              <w:jc w:val="both"/>
              <w:rPr>
                <w:rFonts w:ascii="Times New Roman" w:hAnsi="Times New Roman" w:cs="Times New Roman"/>
                <w:color w:val="000000"/>
              </w:rPr>
            </w:pPr>
          </w:p>
          <w:p w14:paraId="5ED1810C">
            <w:pPr>
              <w:autoSpaceDE w:val="0"/>
              <w:autoSpaceDN w:val="0"/>
              <w:adjustRightInd w:val="0"/>
              <w:spacing w:after="160" w:line="276" w:lineRule="auto"/>
              <w:jc w:val="both"/>
              <w:rPr>
                <w:rFonts w:ascii="Times New Roman" w:hAnsi="Times New Roman" w:cs="Times New Roman"/>
                <w:color w:val="000000"/>
              </w:rPr>
            </w:pPr>
          </w:p>
          <w:p w14:paraId="26508406">
            <w:pPr>
              <w:autoSpaceDE w:val="0"/>
              <w:autoSpaceDN w:val="0"/>
              <w:adjustRightInd w:val="0"/>
              <w:spacing w:after="160" w:line="276" w:lineRule="auto"/>
              <w:jc w:val="both"/>
              <w:rPr>
                <w:rFonts w:ascii="Times New Roman" w:hAnsi="Times New Roman" w:cs="Times New Roman"/>
                <w:color w:val="000000"/>
              </w:rPr>
            </w:pPr>
          </w:p>
        </w:tc>
        <w:tc>
          <w:tcPr>
            <w:tcW w:w="4537" w:type="dxa"/>
          </w:tcPr>
          <w:p w14:paraId="79E5ABC6">
            <w:pPr>
              <w:pStyle w:val="80"/>
              <w:numPr>
                <w:ilvl w:val="0"/>
                <w:numId w:val="18"/>
              </w:numPr>
              <w:autoSpaceDE w:val="0"/>
              <w:autoSpaceDN w:val="0"/>
              <w:adjustRightInd w:val="0"/>
              <w:spacing w:after="0" w:line="276" w:lineRule="auto"/>
              <w:ind w:left="342"/>
              <w:jc w:val="both"/>
              <w:rPr>
                <w:rFonts w:ascii="Times New Roman" w:hAnsi="Times New Roman" w:cs="Times New Roman"/>
                <w:color w:val="000000"/>
              </w:rPr>
            </w:pPr>
            <w:r>
              <w:t xml:space="preserve">În timpul demolării interioare utilizați resturi-șuturi deasupra primului etaj </w:t>
            </w:r>
          </w:p>
          <w:p w14:paraId="7AFBC3B6">
            <w:pPr>
              <w:pStyle w:val="80"/>
              <w:numPr>
                <w:ilvl w:val="0"/>
                <w:numId w:val="18"/>
              </w:numPr>
              <w:autoSpaceDE w:val="0"/>
              <w:autoSpaceDN w:val="0"/>
              <w:adjustRightInd w:val="0"/>
              <w:spacing w:after="0" w:line="276" w:lineRule="auto"/>
              <w:ind w:left="342"/>
              <w:jc w:val="both"/>
              <w:rPr>
                <w:rFonts w:ascii="Times New Roman" w:hAnsi="Times New Roman" w:cs="Times New Roman"/>
                <w:color w:val="000000"/>
              </w:rPr>
            </w:pPr>
            <w:r>
              <w:t xml:space="preserve">Păstrați resturile de demolare în zona controlată și pulverizați cu ceață de apă pentru a reduce praful de resturi </w:t>
            </w:r>
          </w:p>
          <w:p w14:paraId="279015D4">
            <w:pPr>
              <w:pStyle w:val="80"/>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t xml:space="preserve">Suprimarea prafului în timpul găuririi pneumatice/distrugerii pereților prin pulverizarea continuă a apei și/sau instalarea de carcase cu ecran de praf la fața locului </w:t>
            </w:r>
          </w:p>
          <w:p w14:paraId="5DA23178">
            <w:pPr>
              <w:pStyle w:val="80"/>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t xml:space="preserve">Păstrați mediul înconjurător (trasee laterale, drumuri) fără resturi pentru a minimiza praful </w:t>
            </w:r>
          </w:p>
          <w:p w14:paraId="32509F10">
            <w:pPr>
              <w:pStyle w:val="80"/>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t xml:space="preserve">Nu va exista o ardere deschisă a materialelor de construcție / a deșeurilor la fața locului </w:t>
            </w:r>
          </w:p>
          <w:p w14:paraId="59F2F3D1">
            <w:pPr>
              <w:pStyle w:val="80"/>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t>Nu va exista o ralanti excesivă a vehiculelor de construcție pe șantiere</w:t>
            </w:r>
          </w:p>
          <w:p w14:paraId="58806BF2">
            <w:pPr>
              <w:pStyle w:val="80"/>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t>Resturile vor fi transportate în condiții de siguranță și într-un transport acoperit</w:t>
            </w:r>
          </w:p>
        </w:tc>
        <w:tc>
          <w:tcPr>
            <w:tcW w:w="1985" w:type="dxa"/>
          </w:tcPr>
          <w:p w14:paraId="7534EFAA">
            <w:pPr>
              <w:pStyle w:val="80"/>
              <w:autoSpaceDE w:val="0"/>
              <w:autoSpaceDN w:val="0"/>
              <w:adjustRightInd w:val="0"/>
              <w:spacing w:after="0" w:line="276" w:lineRule="auto"/>
              <w:ind w:left="342"/>
              <w:jc w:val="both"/>
              <w:rPr>
                <w:rFonts w:ascii="Times New Roman" w:hAnsi="Times New Roman" w:cs="Times New Roman"/>
                <w:color w:val="000000"/>
              </w:rPr>
            </w:pPr>
            <w:r>
              <w:t>Contractantul</w:t>
            </w:r>
          </w:p>
        </w:tc>
      </w:tr>
      <w:tr w14:paraId="57519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3" w:hRule="atLeast"/>
        </w:trPr>
        <w:tc>
          <w:tcPr>
            <w:tcW w:w="1733" w:type="dxa"/>
            <w:vMerge w:val="continue"/>
          </w:tcPr>
          <w:p w14:paraId="689DB8B6">
            <w:pPr>
              <w:pStyle w:val="39"/>
              <w:numPr>
                <w:ilvl w:val="0"/>
                <w:numId w:val="16"/>
              </w:numPr>
              <w:autoSpaceDE w:val="0"/>
              <w:autoSpaceDN w:val="0"/>
              <w:adjustRightInd w:val="0"/>
              <w:spacing w:after="160" w:line="276" w:lineRule="auto"/>
              <w:jc w:val="both"/>
              <w:rPr>
                <w:rFonts w:ascii="Times New Roman" w:hAnsi="Times New Roman" w:cs="Times New Roman"/>
                <w:color w:val="000000"/>
              </w:rPr>
            </w:pPr>
          </w:p>
        </w:tc>
        <w:tc>
          <w:tcPr>
            <w:tcW w:w="1663" w:type="dxa"/>
          </w:tcPr>
          <w:p w14:paraId="05C416FB">
            <w:pPr>
              <w:pStyle w:val="61"/>
              <w:autoSpaceDE w:val="0"/>
              <w:autoSpaceDN w:val="0"/>
              <w:adjustRightInd w:val="0"/>
              <w:spacing w:after="160" w:line="276" w:lineRule="auto"/>
              <w:jc w:val="both"/>
              <w:rPr>
                <w:rFonts w:ascii="Times New Roman" w:hAnsi="Times New Roman" w:cs="Times New Roman"/>
                <w:color w:val="000000"/>
              </w:rPr>
            </w:pPr>
            <w:r>
              <w:t>Zgomot și vibrații</w:t>
            </w:r>
          </w:p>
          <w:p w14:paraId="4EB24E22">
            <w:pPr>
              <w:autoSpaceDE w:val="0"/>
              <w:autoSpaceDN w:val="0"/>
              <w:adjustRightInd w:val="0"/>
              <w:spacing w:after="160" w:line="276" w:lineRule="auto"/>
              <w:jc w:val="both"/>
              <w:rPr>
                <w:rFonts w:ascii="Times New Roman" w:hAnsi="Times New Roman" w:cs="Times New Roman"/>
                <w:color w:val="000000"/>
              </w:rPr>
            </w:pPr>
          </w:p>
        </w:tc>
        <w:tc>
          <w:tcPr>
            <w:tcW w:w="4537" w:type="dxa"/>
          </w:tcPr>
          <w:p w14:paraId="296C5BF9">
            <w:pPr>
              <w:pStyle w:val="73"/>
              <w:numPr>
                <w:ilvl w:val="0"/>
                <w:numId w:val="19"/>
              </w:numPr>
              <w:autoSpaceDE w:val="0"/>
              <w:autoSpaceDN w:val="0"/>
              <w:adjustRightInd w:val="0"/>
              <w:spacing w:after="0" w:line="240" w:lineRule="auto"/>
              <w:rPr>
                <w:rFonts w:ascii="Times New Roman" w:hAnsi="Times New Roman" w:cs="Times New Roman"/>
                <w:sz w:val="20"/>
                <w:szCs w:val="20"/>
              </w:rPr>
            </w:pPr>
            <w:r>
              <w:rPr>
                <w:color w:val="000000"/>
              </w:rPr>
              <w:t xml:space="preserve">Zgomotul produs de construcții va fi limitat la perioadele limitate convenite în autorizație. </w:t>
            </w:r>
            <w:r>
              <w:rPr>
                <w:sz w:val="20"/>
                <w:szCs w:val="20"/>
              </w:rPr>
              <w:t>Munca de noapte va fi evitată și, dacă este necesar, trebuie obținute permise relevante, iar publicul trebuie informat.</w:t>
            </w:r>
            <w:r>
              <w:rPr>
                <w:color w:val="000000"/>
              </w:rPr>
              <w:t xml:space="preserve"> </w:t>
            </w:r>
          </w:p>
          <w:p w14:paraId="4BAA166E">
            <w:pPr>
              <w:pStyle w:val="80"/>
              <w:numPr>
                <w:ilvl w:val="0"/>
                <w:numId w:val="20"/>
              </w:numPr>
              <w:autoSpaceDE w:val="0"/>
              <w:autoSpaceDN w:val="0"/>
              <w:adjustRightInd w:val="0"/>
              <w:spacing w:after="0" w:line="276" w:lineRule="auto"/>
              <w:ind w:left="342" w:hanging="342"/>
              <w:jc w:val="both"/>
              <w:rPr>
                <w:rFonts w:ascii="Times New Roman" w:hAnsi="Times New Roman" w:cs="Times New Roman"/>
                <w:color w:val="000000"/>
              </w:rPr>
            </w:pPr>
            <w:r>
              <w:t>În timpul funcționării, capacele motoarelor generatoarelor, compresoarelor de aer și ale altor echipamente mecanice alimentate trebuie închise, iar echipamentele trebuie amplasate cât mai departe posibil de zonele rezidențiale.</w:t>
            </w:r>
          </w:p>
          <w:p w14:paraId="3D112F55">
            <w:pPr>
              <w:pStyle w:val="81"/>
              <w:numPr>
                <w:ilvl w:val="0"/>
                <w:numId w:val="20"/>
              </w:numPr>
              <w:autoSpaceDE w:val="0"/>
              <w:autoSpaceDN w:val="0"/>
              <w:adjustRightInd w:val="0"/>
              <w:spacing w:after="0" w:line="276" w:lineRule="auto"/>
              <w:ind w:left="342" w:hanging="342"/>
              <w:jc w:val="both"/>
              <w:rPr>
                <w:rFonts w:ascii="Times New Roman" w:hAnsi="Times New Roman" w:cs="Times New Roman"/>
                <w:color w:val="000000"/>
              </w:rPr>
            </w:pPr>
            <w:r>
              <w:t>Furnizarea de echipamente individuale de protecție (EIP) tuturor lucrătorilor</w:t>
            </w:r>
          </w:p>
        </w:tc>
        <w:tc>
          <w:tcPr>
            <w:tcW w:w="1985" w:type="dxa"/>
          </w:tcPr>
          <w:p w14:paraId="1B88BB15">
            <w:pPr>
              <w:pStyle w:val="61"/>
              <w:autoSpaceDE w:val="0"/>
              <w:autoSpaceDN w:val="0"/>
              <w:adjustRightInd w:val="0"/>
              <w:spacing w:after="0" w:line="240" w:lineRule="auto"/>
              <w:rPr>
                <w:rFonts w:ascii="Times New Roman" w:hAnsi="Times New Roman" w:cs="Times New Roman"/>
                <w:color w:val="000000"/>
              </w:rPr>
            </w:pPr>
            <w:r>
              <w:t>Contractantul</w:t>
            </w:r>
          </w:p>
        </w:tc>
      </w:tr>
      <w:tr w14:paraId="2CEBE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1733" w:type="dxa"/>
            <w:vMerge w:val="continue"/>
          </w:tcPr>
          <w:p w14:paraId="70C6A216">
            <w:pPr>
              <w:pStyle w:val="39"/>
              <w:numPr>
                <w:ilvl w:val="0"/>
                <w:numId w:val="16"/>
              </w:numPr>
              <w:autoSpaceDE w:val="0"/>
              <w:autoSpaceDN w:val="0"/>
              <w:adjustRightInd w:val="0"/>
              <w:spacing w:after="160" w:line="276" w:lineRule="auto"/>
              <w:jc w:val="both"/>
              <w:rPr>
                <w:rFonts w:ascii="Times New Roman" w:hAnsi="Times New Roman" w:cs="Times New Roman"/>
                <w:color w:val="000000"/>
              </w:rPr>
            </w:pPr>
          </w:p>
        </w:tc>
        <w:tc>
          <w:tcPr>
            <w:tcW w:w="1663" w:type="dxa"/>
          </w:tcPr>
          <w:p w14:paraId="0F450F1F">
            <w:pPr>
              <w:pStyle w:val="61"/>
              <w:autoSpaceDE w:val="0"/>
              <w:autoSpaceDN w:val="0"/>
              <w:adjustRightInd w:val="0"/>
              <w:spacing w:after="160" w:line="276" w:lineRule="auto"/>
              <w:jc w:val="both"/>
              <w:rPr>
                <w:rFonts w:ascii="Times New Roman" w:hAnsi="Times New Roman" w:cs="Times New Roman"/>
                <w:color w:val="000000"/>
              </w:rPr>
            </w:pPr>
            <w:r>
              <w:t>Calitatea apei</w:t>
            </w:r>
          </w:p>
        </w:tc>
        <w:tc>
          <w:tcPr>
            <w:tcW w:w="4537" w:type="dxa"/>
          </w:tcPr>
          <w:p w14:paraId="4E23DF16">
            <w:pPr>
              <w:pStyle w:val="73"/>
              <w:numPr>
                <w:ilvl w:val="0"/>
                <w:numId w:val="21"/>
              </w:numPr>
              <w:autoSpaceDE w:val="0"/>
              <w:autoSpaceDN w:val="0"/>
              <w:adjustRightInd w:val="0"/>
              <w:spacing w:after="0" w:line="276" w:lineRule="auto"/>
              <w:jc w:val="both"/>
              <w:rPr>
                <w:rFonts w:ascii="Times New Roman" w:hAnsi="Times New Roman" w:cs="Times New Roman"/>
              </w:rPr>
            </w:pPr>
            <w:r>
              <w:t>Situl va stabili măsuri adecvate de control al eroziunii și al sedimentelor pentru a preveni deplasarea sedimentelor în afara sitului și provocarea de turbidități excesive în cursurile de apă și râurile din apropiere.</w:t>
            </w:r>
          </w:p>
          <w:p w14:paraId="35FFEE44">
            <w:pPr>
              <w:pStyle w:val="82"/>
              <w:numPr>
                <w:ilvl w:val="0"/>
                <w:numId w:val="21"/>
              </w:numPr>
              <w:spacing w:after="0" w:line="240" w:lineRule="auto"/>
              <w:rPr>
                <w:rFonts w:ascii="Times New Roman" w:hAnsi="Times New Roman" w:eastAsia="Times New Roman" w:cs="Times New Roman"/>
                <w:sz w:val="20"/>
                <w:szCs w:val="20"/>
              </w:rPr>
            </w:pPr>
            <w:r>
              <w:t>Materialele depozitate și deșeurile depozitate în exterior trebuie să fie amplasate pe suprafețe de beton sau asfaltate cu sistemul de colectare sau să fie complet acoperite și protejate de condițiile meteorologice.</w:t>
            </w:r>
          </w:p>
          <w:p w14:paraId="7F111A90">
            <w:pPr>
              <w:pStyle w:val="20"/>
              <w:numPr>
                <w:ilvl w:val="0"/>
                <w:numId w:val="21"/>
              </w:numPr>
              <w:spacing w:after="0" w:line="240" w:lineRule="auto"/>
              <w:rPr>
                <w:rFonts w:ascii="Times New Roman" w:hAnsi="Times New Roman" w:eastAsia="Times New Roman" w:cs="Times New Roman"/>
                <w:sz w:val="20"/>
                <w:szCs w:val="20"/>
              </w:rPr>
            </w:pPr>
            <w:r>
              <w:t>Asigurarea măsurilor de prevenire a deversării de combustibili și uleiuri și de alte substanțe toxice sau periculoase în sol și în sistemele de canalizare.</w:t>
            </w:r>
          </w:p>
          <w:p w14:paraId="6761C5BE">
            <w:pPr>
              <w:pStyle w:val="20"/>
              <w:numPr>
                <w:ilvl w:val="0"/>
                <w:numId w:val="21"/>
              </w:numPr>
              <w:spacing w:after="0" w:line="240" w:lineRule="auto"/>
              <w:rPr>
                <w:rFonts w:ascii="Times New Roman" w:hAnsi="Times New Roman" w:eastAsia="Times New Roman" w:cs="Times New Roman"/>
                <w:sz w:val="20"/>
                <w:szCs w:val="20"/>
              </w:rPr>
            </w:pPr>
            <w:r>
              <w:t>Instituirea interdicției de spălare a mașinilor și mecanismelor pe șantierul de construcții</w:t>
            </w:r>
          </w:p>
        </w:tc>
        <w:tc>
          <w:tcPr>
            <w:tcW w:w="1985" w:type="dxa"/>
          </w:tcPr>
          <w:p w14:paraId="5E952F70">
            <w:pPr>
              <w:pStyle w:val="80"/>
              <w:autoSpaceDE w:val="0"/>
              <w:autoSpaceDN w:val="0"/>
              <w:adjustRightInd w:val="0"/>
              <w:spacing w:after="0" w:line="276" w:lineRule="auto"/>
              <w:ind w:left="719" w:leftChars="0" w:hanging="719" w:hangingChars="327"/>
              <w:jc w:val="both"/>
              <w:rPr>
                <w:rFonts w:ascii="Times New Roman" w:hAnsi="Times New Roman" w:cs="Times New Roman"/>
              </w:rPr>
            </w:pPr>
            <w:r>
              <w:t>Contractantul</w:t>
            </w:r>
          </w:p>
        </w:tc>
      </w:tr>
      <w:tr w14:paraId="1D8A5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trPr>
        <w:tc>
          <w:tcPr>
            <w:tcW w:w="1733" w:type="dxa"/>
            <w:vMerge w:val="continue"/>
          </w:tcPr>
          <w:p w14:paraId="7209F603">
            <w:pPr>
              <w:pStyle w:val="39"/>
              <w:numPr>
                <w:ilvl w:val="0"/>
                <w:numId w:val="16"/>
              </w:numPr>
              <w:autoSpaceDE w:val="0"/>
              <w:autoSpaceDN w:val="0"/>
              <w:adjustRightInd w:val="0"/>
              <w:spacing w:after="160" w:line="276" w:lineRule="auto"/>
              <w:jc w:val="both"/>
              <w:rPr>
                <w:rFonts w:ascii="Times New Roman" w:hAnsi="Times New Roman" w:cs="Times New Roman"/>
                <w:color w:val="000000"/>
              </w:rPr>
            </w:pPr>
          </w:p>
        </w:tc>
        <w:tc>
          <w:tcPr>
            <w:tcW w:w="1663" w:type="dxa"/>
          </w:tcPr>
          <w:p w14:paraId="032FCE13">
            <w:pPr>
              <w:pStyle w:val="61"/>
              <w:autoSpaceDE w:val="0"/>
              <w:autoSpaceDN w:val="0"/>
              <w:adjustRightInd w:val="0"/>
              <w:spacing w:after="160" w:line="276" w:lineRule="auto"/>
              <w:jc w:val="both"/>
              <w:rPr>
                <w:rFonts w:ascii="Times New Roman" w:hAnsi="Times New Roman" w:cs="Times New Roman"/>
                <w:color w:val="000000"/>
              </w:rPr>
            </w:pPr>
            <w:r>
              <w:t>Gestionarea deșeurilor</w:t>
            </w:r>
          </w:p>
        </w:tc>
        <w:tc>
          <w:tcPr>
            <w:tcW w:w="4537" w:type="dxa"/>
          </w:tcPr>
          <w:p w14:paraId="5C01617A">
            <w:pPr>
              <w:pStyle w:val="80"/>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t xml:space="preserve">Vor fi identificate căile și amplasamentele de colectare și eliminare a deșeurilor pentru toate tipurile majore de deșeuri preconizate a fi generate de activitățile de demolare și de construcție. </w:t>
            </w:r>
          </w:p>
          <w:p w14:paraId="3C057677">
            <w:pPr>
              <w:pStyle w:val="80"/>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t xml:space="preserve">Deșeurile minerale provenite din construcții și demolări vor fi separate de deșeurile generale, organice, lichide și chimice prin sortare la fața locului și vor fi depozitate în recipiente adecvate. </w:t>
            </w:r>
          </w:p>
          <w:p w14:paraId="389E885A">
            <w:pPr>
              <w:pStyle w:val="80"/>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t xml:space="preserve">Deșeurile din construcții vor fi colectate și eliminate în mod corespunzător de către colectori autorizați </w:t>
            </w:r>
          </w:p>
          <w:p w14:paraId="34E1A55C">
            <w:pPr>
              <w:pStyle w:val="80"/>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t xml:space="preserve">Evidențele privind eliminarea deșeurilor vor fi păstrate ca dovadă a unei gestionări adecvate, astfel cum a fost concepută. </w:t>
            </w:r>
          </w:p>
          <w:p w14:paraId="4F918AE5">
            <w:pPr>
              <w:pStyle w:val="80"/>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t>Ori de câte ori este posibil, contractantul va reutiliza și va recicla materiale adecvate și viabile (cu excepția azbestului)</w:t>
            </w:r>
          </w:p>
        </w:tc>
        <w:tc>
          <w:tcPr>
            <w:tcW w:w="1985" w:type="dxa"/>
          </w:tcPr>
          <w:p w14:paraId="54441C83">
            <w:pPr>
              <w:pStyle w:val="80"/>
              <w:autoSpaceDE w:val="0"/>
              <w:autoSpaceDN w:val="0"/>
              <w:adjustRightInd w:val="0"/>
              <w:spacing w:after="0" w:line="276" w:lineRule="auto"/>
              <w:ind w:left="342"/>
              <w:jc w:val="both"/>
              <w:rPr>
                <w:rFonts w:ascii="Times New Roman" w:hAnsi="Times New Roman" w:cs="Times New Roman"/>
                <w:color w:val="000000"/>
              </w:rPr>
            </w:pPr>
            <w:r>
              <w:t>Contractantul</w:t>
            </w:r>
          </w:p>
        </w:tc>
      </w:tr>
      <w:tr w14:paraId="64ED4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3B7370D6">
            <w:pPr>
              <w:autoSpaceDE w:val="0"/>
              <w:autoSpaceDN w:val="0"/>
              <w:adjustRightInd w:val="0"/>
              <w:spacing w:after="0" w:line="276" w:lineRule="auto"/>
              <w:jc w:val="both"/>
              <w:rPr>
                <w:rFonts w:ascii="Times New Roman" w:hAnsi="Times New Roman" w:cs="Times New Roman"/>
                <w:color w:val="000000"/>
              </w:rPr>
            </w:pPr>
          </w:p>
        </w:tc>
        <w:tc>
          <w:tcPr>
            <w:tcW w:w="1663" w:type="dxa"/>
          </w:tcPr>
          <w:p w14:paraId="56BCA0C0">
            <w:pPr>
              <w:pStyle w:val="82"/>
              <w:autoSpaceDE w:val="0"/>
              <w:autoSpaceDN w:val="0"/>
              <w:adjustRightInd w:val="0"/>
              <w:spacing w:after="0" w:line="276" w:lineRule="auto"/>
              <w:jc w:val="both"/>
              <w:rPr>
                <w:rFonts w:ascii="Times New Roman" w:hAnsi="Times New Roman" w:cs="Times New Roman"/>
                <w:color w:val="000000"/>
              </w:rPr>
            </w:pPr>
            <w:r>
              <w:t>Vegetație (arbori, tufișuri, iarbă)</w:t>
            </w:r>
          </w:p>
        </w:tc>
        <w:tc>
          <w:tcPr>
            <w:tcW w:w="4537" w:type="dxa"/>
          </w:tcPr>
          <w:p w14:paraId="3A849594">
            <w:pPr>
              <w:pStyle w:val="20"/>
              <w:numPr>
                <w:ilvl w:val="0"/>
                <w:numId w:val="19"/>
              </w:numPr>
              <w:tabs>
                <w:tab w:val="left" w:pos="228"/>
                <w:tab w:val="left" w:pos="9270"/>
                <w:tab w:val="left" w:pos="9360"/>
                <w:tab w:val="left" w:pos="10170"/>
              </w:tabs>
              <w:spacing w:after="0" w:line="240" w:lineRule="auto"/>
              <w:rPr>
                <w:rFonts w:ascii="Times New Roman" w:hAnsi="Times New Roman" w:eastAsia="Times New Roman" w:cs="Times New Roman"/>
                <w:sz w:val="20"/>
                <w:szCs w:val="20"/>
              </w:rPr>
            </w:pPr>
            <w:r>
              <w:t>Organizarea lucrărilor de construcție fără îndepărtarea și deteriorarea vegetației locale, ori de câte ori este posibil</w:t>
            </w:r>
          </w:p>
          <w:p w14:paraId="0B6B13B4">
            <w:pPr>
              <w:pStyle w:val="20"/>
              <w:numPr>
                <w:ilvl w:val="0"/>
                <w:numId w:val="19"/>
              </w:numPr>
              <w:tabs>
                <w:tab w:val="left" w:pos="228"/>
                <w:tab w:val="left" w:pos="9270"/>
                <w:tab w:val="left" w:pos="9360"/>
                <w:tab w:val="left" w:pos="10170"/>
              </w:tabs>
              <w:spacing w:after="0" w:line="240" w:lineRule="auto"/>
              <w:rPr>
                <w:rFonts w:ascii="Times New Roman" w:hAnsi="Times New Roman" w:cs="Times New Roman"/>
                <w:b/>
                <w:bCs/>
                <w:sz w:val="20"/>
                <w:szCs w:val="20"/>
              </w:rPr>
            </w:pPr>
            <w:r>
              <w:t>Instituirea interdicției de călătorie și de parcare a mijloacelor de transport în afara drumurilor și platformelor alocate în acest scop</w:t>
            </w:r>
          </w:p>
          <w:p w14:paraId="1D6FCBE1">
            <w:pPr>
              <w:pStyle w:val="20"/>
              <w:numPr>
                <w:ilvl w:val="0"/>
                <w:numId w:val="19"/>
              </w:numPr>
              <w:tabs>
                <w:tab w:val="left" w:pos="228"/>
                <w:tab w:val="left" w:pos="9270"/>
                <w:tab w:val="left" w:pos="9360"/>
                <w:tab w:val="left" w:pos="10170"/>
              </w:tabs>
              <w:spacing w:after="0" w:line="240" w:lineRule="auto"/>
              <w:rPr>
                <w:rFonts w:ascii="Times New Roman" w:hAnsi="Times New Roman" w:cs="Times New Roman"/>
                <w:color w:val="000000"/>
              </w:rPr>
            </w:pPr>
            <w:r>
              <w:t>Protejarea vegetației locale care a rămas pe șantier cu protecții din lemn</w:t>
            </w:r>
          </w:p>
        </w:tc>
        <w:tc>
          <w:tcPr>
            <w:tcW w:w="1985" w:type="dxa"/>
          </w:tcPr>
          <w:p w14:paraId="2259EA35">
            <w:pPr>
              <w:pStyle w:val="61"/>
              <w:tabs>
                <w:tab w:val="left" w:pos="9270"/>
                <w:tab w:val="left" w:pos="9360"/>
                <w:tab w:val="left" w:pos="10170"/>
              </w:tabs>
              <w:spacing w:after="0" w:line="240" w:lineRule="auto"/>
              <w:ind w:left="387" w:hanging="283"/>
              <w:rPr>
                <w:rFonts w:ascii="Times New Roman" w:hAnsi="Times New Roman" w:eastAsia="Times New Roman" w:cs="Times New Roman"/>
                <w:sz w:val="20"/>
                <w:szCs w:val="20"/>
              </w:rPr>
            </w:pPr>
            <w:r>
              <w:t>Contractantul</w:t>
            </w:r>
          </w:p>
        </w:tc>
      </w:tr>
      <w:tr w14:paraId="42979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5D64ABA9">
            <w:pPr>
              <w:autoSpaceDE w:val="0"/>
              <w:autoSpaceDN w:val="0"/>
              <w:adjustRightInd w:val="0"/>
              <w:spacing w:after="0" w:line="276" w:lineRule="auto"/>
              <w:jc w:val="both"/>
              <w:rPr>
                <w:rFonts w:ascii="Times New Roman" w:hAnsi="Times New Roman" w:cs="Times New Roman"/>
                <w:color w:val="000000"/>
              </w:rPr>
            </w:pPr>
          </w:p>
        </w:tc>
        <w:tc>
          <w:tcPr>
            <w:tcW w:w="1663" w:type="dxa"/>
          </w:tcPr>
          <w:p w14:paraId="1BEDCEF2">
            <w:pPr>
              <w:pStyle w:val="83"/>
              <w:ind w:left="116" w:hanging="116"/>
              <w:rPr>
                <w:sz w:val="20"/>
                <w:szCs w:val="20"/>
              </w:rPr>
            </w:pPr>
            <w:r>
              <w:t>Excavare de șanțuri</w:t>
            </w:r>
          </w:p>
          <w:p w14:paraId="7A1A62DC">
            <w:pPr>
              <w:pStyle w:val="82"/>
              <w:autoSpaceDE w:val="0"/>
              <w:autoSpaceDN w:val="0"/>
              <w:adjustRightInd w:val="0"/>
              <w:spacing w:after="0" w:line="276" w:lineRule="auto"/>
              <w:jc w:val="both"/>
              <w:rPr>
                <w:rFonts w:ascii="Times New Roman" w:hAnsi="Times New Roman" w:cs="Times New Roman"/>
                <w:color w:val="000000"/>
              </w:rPr>
            </w:pPr>
            <w:r>
              <w:t>Șanț deschis</w:t>
            </w:r>
          </w:p>
        </w:tc>
        <w:tc>
          <w:tcPr>
            <w:tcW w:w="4537" w:type="dxa"/>
          </w:tcPr>
          <w:p w14:paraId="132A7DBC">
            <w:pPr>
              <w:pStyle w:val="81"/>
              <w:numPr>
                <w:ilvl w:val="0"/>
                <w:numId w:val="19"/>
              </w:numPr>
              <w:spacing w:after="0" w:line="257" w:lineRule="auto"/>
              <w:contextualSpacing w:val="0"/>
              <w:jc w:val="both"/>
              <w:rPr>
                <w:rFonts w:ascii="Times New Roman" w:hAnsi="Times New Roman" w:cs="Times New Roman"/>
                <w:sz w:val="20"/>
                <w:szCs w:val="20"/>
              </w:rPr>
            </w:pPr>
            <w:r>
              <w:t>Trebuie luate măsuri de siguranță adecvate pentru săpături și lucrări subterane: (a) utilizarea unui suport sau a unui terasament adecvat; (b) să prevină pericolele pe care le implică căderea unei persoane, a unor materiale sau obiecte sau inundațiile; (c) să asigure o ventilație suficientă la toate posturile de lucru, astfel încât să asigure o atmosferă respirabilă care să nu fie periculoasă sau dăunătoare pentru sănătate; alte măsuri de siguranță specifice.</w:t>
            </w:r>
          </w:p>
          <w:p w14:paraId="60264746">
            <w:pPr>
              <w:pStyle w:val="81"/>
              <w:numPr>
                <w:ilvl w:val="0"/>
                <w:numId w:val="19"/>
              </w:numPr>
              <w:spacing w:after="0" w:line="257" w:lineRule="auto"/>
              <w:contextualSpacing w:val="0"/>
              <w:jc w:val="both"/>
              <w:rPr>
                <w:rFonts w:ascii="Times New Roman" w:hAnsi="Times New Roman" w:cs="Times New Roman"/>
                <w:sz w:val="20"/>
                <w:szCs w:val="20"/>
              </w:rPr>
            </w:pPr>
            <w:r>
              <w:t>Înainte de începerea săpăturilor, trebuie luate măsuri pentru a identifica și a reduce la minimum orice pericol cauzat de cablurile subterane și de alte sisteme de distribuție.</w:t>
            </w:r>
          </w:p>
          <w:p w14:paraId="37892830">
            <w:pPr>
              <w:pStyle w:val="81"/>
              <w:numPr>
                <w:ilvl w:val="0"/>
                <w:numId w:val="19"/>
              </w:numPr>
              <w:spacing w:after="0" w:line="257" w:lineRule="auto"/>
              <w:contextualSpacing w:val="0"/>
              <w:jc w:val="both"/>
              <w:rPr>
                <w:rFonts w:ascii="Times New Roman" w:hAnsi="Times New Roman" w:cs="Times New Roman"/>
                <w:sz w:val="20"/>
                <w:szCs w:val="20"/>
              </w:rPr>
            </w:pPr>
            <w:r>
              <w:t>Trebuie prevăzute căi sigure de intrare și ieșire din excavare.</w:t>
            </w:r>
          </w:p>
          <w:p w14:paraId="614F8469">
            <w:pPr>
              <w:pStyle w:val="81"/>
              <w:numPr>
                <w:ilvl w:val="0"/>
                <w:numId w:val="19"/>
              </w:numPr>
              <w:autoSpaceDE w:val="0"/>
              <w:autoSpaceDN w:val="0"/>
              <w:adjustRightInd w:val="0"/>
              <w:spacing w:after="0" w:line="276" w:lineRule="auto"/>
              <w:jc w:val="both"/>
              <w:rPr>
                <w:rFonts w:ascii="Times New Roman" w:hAnsi="Times New Roman" w:cs="Times New Roman"/>
                <w:color w:val="000000"/>
              </w:rPr>
            </w:pPr>
            <w:r>
              <w:t>Piloți de pământ, materiale și vehicule în mișcare trebuie să fie ținute departe de excavare; dacă este necesar, trebuie construite bariere adecvate.</w:t>
            </w:r>
          </w:p>
        </w:tc>
        <w:tc>
          <w:tcPr>
            <w:tcW w:w="1985" w:type="dxa"/>
          </w:tcPr>
          <w:p w14:paraId="74CAE98A">
            <w:pPr>
              <w:pStyle w:val="61"/>
              <w:spacing w:after="0" w:line="257" w:lineRule="auto"/>
              <w:jc w:val="both"/>
              <w:rPr>
                <w:rFonts w:ascii="Times New Roman" w:hAnsi="Times New Roman" w:cs="Times New Roman"/>
                <w:sz w:val="20"/>
                <w:szCs w:val="20"/>
              </w:rPr>
            </w:pPr>
            <w:r>
              <w:t>Contractantul</w:t>
            </w:r>
          </w:p>
        </w:tc>
      </w:tr>
      <w:tr w14:paraId="037A9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5E32B825">
            <w:pPr>
              <w:pStyle w:val="80"/>
              <w:numPr>
                <w:ilvl w:val="0"/>
                <w:numId w:val="16"/>
              </w:numPr>
              <w:autoSpaceDE w:val="0"/>
              <w:autoSpaceDN w:val="0"/>
              <w:adjustRightInd w:val="0"/>
              <w:spacing w:after="0" w:line="276" w:lineRule="auto"/>
              <w:ind w:left="360"/>
              <w:jc w:val="both"/>
              <w:rPr>
                <w:rFonts w:ascii="Times New Roman" w:hAnsi="Times New Roman" w:cs="Times New Roman"/>
                <w:color w:val="000000"/>
              </w:rPr>
            </w:pPr>
            <w:r>
              <w:t>Sistem individual de tratare a apelor reziduale</w:t>
            </w:r>
          </w:p>
        </w:tc>
        <w:tc>
          <w:tcPr>
            <w:tcW w:w="1663" w:type="dxa"/>
          </w:tcPr>
          <w:p w14:paraId="5ACF4F90">
            <w:pPr>
              <w:pStyle w:val="61"/>
              <w:autoSpaceDE w:val="0"/>
              <w:autoSpaceDN w:val="0"/>
              <w:adjustRightInd w:val="0"/>
              <w:spacing w:after="0" w:line="276" w:lineRule="auto"/>
              <w:jc w:val="both"/>
              <w:rPr>
                <w:rFonts w:ascii="Times New Roman" w:hAnsi="Times New Roman" w:cs="Times New Roman"/>
                <w:color w:val="000000"/>
              </w:rPr>
            </w:pPr>
            <w:r>
              <w:t>Calitatea apei</w:t>
            </w:r>
          </w:p>
        </w:tc>
        <w:tc>
          <w:tcPr>
            <w:tcW w:w="4537" w:type="dxa"/>
          </w:tcPr>
          <w:p w14:paraId="5E2C2545">
            <w:pPr>
              <w:pStyle w:val="80"/>
              <w:numPr>
                <w:ilvl w:val="0"/>
                <w:numId w:val="23"/>
              </w:numPr>
              <w:autoSpaceDE w:val="0"/>
              <w:autoSpaceDN w:val="0"/>
              <w:adjustRightInd w:val="0"/>
              <w:spacing w:after="0" w:line="276" w:lineRule="auto"/>
              <w:ind w:left="342"/>
              <w:jc w:val="both"/>
              <w:rPr>
                <w:rFonts w:ascii="Times New Roman" w:hAnsi="Times New Roman" w:cs="Times New Roman"/>
                <w:color w:val="000000"/>
              </w:rPr>
            </w:pPr>
            <w:r>
              <w:t xml:space="preserve">Abordarea manipulării deșeurilor sanitare și a apelor uzate de pe șantiere (instalare sau reconstrucție) trebuie aprobată de autoritățile locale </w:t>
            </w:r>
          </w:p>
          <w:p w14:paraId="5E9EBFBA">
            <w:pPr>
              <w:pStyle w:val="80"/>
              <w:numPr>
                <w:ilvl w:val="0"/>
                <w:numId w:val="23"/>
              </w:numPr>
              <w:autoSpaceDE w:val="0"/>
              <w:autoSpaceDN w:val="0"/>
              <w:adjustRightInd w:val="0"/>
              <w:spacing w:after="0" w:line="276" w:lineRule="auto"/>
              <w:ind w:left="342" w:hanging="342"/>
              <w:jc w:val="both"/>
              <w:rPr>
                <w:rFonts w:ascii="Times New Roman" w:hAnsi="Times New Roman" w:cs="Times New Roman"/>
                <w:color w:val="000000"/>
              </w:rPr>
            </w:pPr>
            <w:r>
              <w:t xml:space="preserve">Înainte de a fi evacuați în apele receptoare, efluenții din sistemele individuale de epurare a apelor uzate trebuie epurați pentru a îndeplini criteriile minime de calitate privind epurarea apelor uzate. </w:t>
            </w:r>
          </w:p>
          <w:p w14:paraId="0B2E1F7C">
            <w:pPr>
              <w:pStyle w:val="80"/>
              <w:numPr>
                <w:ilvl w:val="0"/>
                <w:numId w:val="23"/>
              </w:numPr>
              <w:autoSpaceDE w:val="0"/>
              <w:autoSpaceDN w:val="0"/>
              <w:adjustRightInd w:val="0"/>
              <w:spacing w:after="0" w:line="276" w:lineRule="auto"/>
              <w:ind w:left="342" w:hanging="342"/>
              <w:jc w:val="both"/>
              <w:rPr>
                <w:rFonts w:ascii="Times New Roman" w:hAnsi="Times New Roman" w:cs="Times New Roman"/>
                <w:color w:val="000000"/>
              </w:rPr>
            </w:pPr>
            <w:r>
              <w:t xml:space="preserve">Monitorizarea noilor sisteme de ape uzate (înainte/după) va fi efectuată </w:t>
            </w:r>
          </w:p>
        </w:tc>
        <w:tc>
          <w:tcPr>
            <w:tcW w:w="1985" w:type="dxa"/>
          </w:tcPr>
          <w:p w14:paraId="4CA87133">
            <w:pPr>
              <w:pStyle w:val="80"/>
              <w:autoSpaceDE w:val="0"/>
              <w:autoSpaceDN w:val="0"/>
              <w:adjustRightInd w:val="0"/>
              <w:spacing w:after="0" w:line="276" w:lineRule="auto"/>
              <w:ind w:left="342"/>
              <w:jc w:val="both"/>
              <w:rPr>
                <w:rFonts w:ascii="Times New Roman" w:hAnsi="Times New Roman" w:cs="Times New Roman"/>
                <w:color w:val="000000"/>
              </w:rPr>
            </w:pPr>
            <w:r>
              <w:t xml:space="preserve">MCS </w:t>
            </w:r>
          </w:p>
        </w:tc>
      </w:tr>
      <w:tr w14:paraId="00798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8" w:hRule="atLeast"/>
        </w:trPr>
        <w:tc>
          <w:tcPr>
            <w:tcW w:w="1733" w:type="dxa"/>
            <w:vMerge w:val="restart"/>
          </w:tcPr>
          <w:p w14:paraId="0A827ABE">
            <w:pPr>
              <w:pStyle w:val="80"/>
              <w:numPr>
                <w:ilvl w:val="0"/>
                <w:numId w:val="16"/>
              </w:numPr>
              <w:autoSpaceDE w:val="0"/>
              <w:autoSpaceDN w:val="0"/>
              <w:adjustRightInd w:val="0"/>
              <w:spacing w:after="0" w:line="276" w:lineRule="auto"/>
              <w:ind w:left="360"/>
              <w:jc w:val="both"/>
              <w:rPr>
                <w:rFonts w:ascii="Times New Roman" w:hAnsi="Times New Roman" w:cs="Times New Roman"/>
                <w:color w:val="000000"/>
              </w:rPr>
            </w:pPr>
            <w:r>
              <w:t>Substanțe toxice</w:t>
            </w:r>
          </w:p>
        </w:tc>
        <w:tc>
          <w:tcPr>
            <w:tcW w:w="1663" w:type="dxa"/>
          </w:tcPr>
          <w:p w14:paraId="4AAB7210">
            <w:pPr>
              <w:pStyle w:val="61"/>
              <w:autoSpaceDE w:val="0"/>
              <w:autoSpaceDN w:val="0"/>
              <w:adjustRightInd w:val="0"/>
              <w:spacing w:after="0" w:line="276" w:lineRule="auto"/>
              <w:jc w:val="both"/>
              <w:rPr>
                <w:rFonts w:ascii="Times New Roman" w:hAnsi="Times New Roman" w:cs="Times New Roman"/>
                <w:color w:val="000000"/>
              </w:rPr>
            </w:pPr>
            <w:r>
              <w:t>Gestionarea azbestului</w:t>
            </w:r>
          </w:p>
        </w:tc>
        <w:tc>
          <w:tcPr>
            <w:tcW w:w="4537" w:type="dxa"/>
          </w:tcPr>
          <w:p w14:paraId="2E439BA4">
            <w:pPr>
              <w:pStyle w:val="80"/>
              <w:numPr>
                <w:ilvl w:val="0"/>
                <w:numId w:val="24"/>
              </w:numPr>
              <w:autoSpaceDE w:val="0"/>
              <w:autoSpaceDN w:val="0"/>
              <w:adjustRightInd w:val="0"/>
              <w:spacing w:after="0" w:line="276" w:lineRule="auto"/>
              <w:ind w:left="342"/>
              <w:jc w:val="both"/>
              <w:rPr>
                <w:rFonts w:ascii="Times New Roman" w:hAnsi="Times New Roman" w:cs="Times New Roman"/>
                <w:color w:val="000000"/>
              </w:rPr>
            </w:pPr>
            <w:r>
              <w:t xml:space="preserve">În cazul în care azbestul se află pe amplasamentul proiectului, marcați în mod clar ca material periculos </w:t>
            </w:r>
          </w:p>
          <w:p w14:paraId="72B6B585">
            <w:pPr>
              <w:pStyle w:val="80"/>
              <w:numPr>
                <w:ilvl w:val="0"/>
                <w:numId w:val="24"/>
              </w:numPr>
              <w:autoSpaceDE w:val="0"/>
              <w:autoSpaceDN w:val="0"/>
              <w:adjustRightInd w:val="0"/>
              <w:spacing w:after="0" w:line="276" w:lineRule="auto"/>
              <w:ind w:left="342"/>
              <w:jc w:val="both"/>
              <w:rPr>
                <w:rFonts w:ascii="Times New Roman" w:hAnsi="Times New Roman" w:cs="Times New Roman"/>
                <w:color w:val="000000"/>
              </w:rPr>
            </w:pPr>
            <w:r>
              <w:t xml:space="preserve">Atunci când este posibil, azbestul va fi izolat și sigilat în mod corespunzător pentru a minimiza expunerea. </w:t>
            </w:r>
          </w:p>
          <w:p w14:paraId="665EB270">
            <w:pPr>
              <w:pStyle w:val="80"/>
              <w:numPr>
                <w:ilvl w:val="0"/>
                <w:numId w:val="24"/>
              </w:numPr>
              <w:autoSpaceDE w:val="0"/>
              <w:autoSpaceDN w:val="0"/>
              <w:adjustRightInd w:val="0"/>
              <w:spacing w:after="0" w:line="276" w:lineRule="auto"/>
              <w:ind w:left="342"/>
              <w:jc w:val="both"/>
              <w:rPr>
                <w:rFonts w:ascii="Times New Roman" w:hAnsi="Times New Roman" w:cs="Times New Roman"/>
                <w:color w:val="000000"/>
              </w:rPr>
            </w:pPr>
            <w:r>
              <w:t xml:space="preserve">Azbestul înainte de îndepărtare (dacă îndepărtarea este necesară) va fi tratat cu un agent de umezire pentru a reduce la minimum praful de azbest </w:t>
            </w:r>
          </w:p>
          <w:p w14:paraId="59F06E18">
            <w:pPr>
              <w:pStyle w:val="80"/>
              <w:numPr>
                <w:ilvl w:val="0"/>
                <w:numId w:val="24"/>
              </w:numPr>
              <w:autoSpaceDE w:val="0"/>
              <w:autoSpaceDN w:val="0"/>
              <w:adjustRightInd w:val="0"/>
              <w:spacing w:after="0" w:line="276" w:lineRule="auto"/>
              <w:ind w:left="342"/>
              <w:jc w:val="both"/>
              <w:rPr>
                <w:rFonts w:ascii="Times New Roman" w:hAnsi="Times New Roman" w:cs="Times New Roman"/>
                <w:color w:val="000000"/>
              </w:rPr>
            </w:pPr>
            <w:r>
              <w:t xml:space="preserve">Azbestul va fi manipulat și eliminat de profesioniști calificați și cu experiență </w:t>
            </w:r>
          </w:p>
          <w:p w14:paraId="77BC6EC6">
            <w:pPr>
              <w:pStyle w:val="80"/>
              <w:numPr>
                <w:ilvl w:val="0"/>
                <w:numId w:val="24"/>
              </w:numPr>
              <w:autoSpaceDE w:val="0"/>
              <w:autoSpaceDN w:val="0"/>
              <w:adjustRightInd w:val="0"/>
              <w:spacing w:after="0" w:line="276" w:lineRule="auto"/>
              <w:ind w:left="342"/>
              <w:jc w:val="both"/>
              <w:rPr>
                <w:rFonts w:ascii="Times New Roman" w:hAnsi="Times New Roman" w:cs="Times New Roman"/>
                <w:color w:val="000000"/>
              </w:rPr>
            </w:pPr>
            <w:r>
              <w:t xml:space="preserve">Dacă materialul de azbest este depozitat temporar, deșeurile ar trebui să fie bine închise în interiorul containerelor închise și marcate în mod corespunzător. </w:t>
            </w:r>
          </w:p>
          <w:p w14:paraId="12F29CE4">
            <w:pPr>
              <w:pStyle w:val="80"/>
              <w:numPr>
                <w:ilvl w:val="0"/>
                <w:numId w:val="24"/>
              </w:numPr>
              <w:autoSpaceDE w:val="0"/>
              <w:autoSpaceDN w:val="0"/>
              <w:adjustRightInd w:val="0"/>
              <w:spacing w:after="0" w:line="276" w:lineRule="auto"/>
              <w:ind w:left="342"/>
              <w:jc w:val="both"/>
              <w:rPr>
                <w:rFonts w:ascii="Times New Roman" w:hAnsi="Times New Roman" w:cs="Times New Roman"/>
                <w:color w:val="000000"/>
              </w:rPr>
            </w:pPr>
            <w:r>
              <w:t>Azbestul eliminat nu va fi reutilizat.</w:t>
            </w:r>
          </w:p>
        </w:tc>
        <w:tc>
          <w:tcPr>
            <w:tcW w:w="1985" w:type="dxa"/>
          </w:tcPr>
          <w:p w14:paraId="55B514EA">
            <w:pPr>
              <w:pStyle w:val="80"/>
              <w:autoSpaceDE w:val="0"/>
              <w:autoSpaceDN w:val="0"/>
              <w:adjustRightInd w:val="0"/>
              <w:spacing w:after="0" w:line="276" w:lineRule="auto"/>
              <w:ind w:left="342"/>
              <w:jc w:val="both"/>
              <w:rPr>
                <w:rFonts w:hint="default" w:ascii="Times New Roman" w:hAnsi="Times New Roman" w:cs="Times New Roman"/>
                <w:color w:val="000000"/>
                <w:lang w:val="ro-RO"/>
              </w:rPr>
            </w:pPr>
            <w:r>
              <w:t xml:space="preserve">Contractant / </w:t>
            </w:r>
            <w:r>
              <w:rPr>
                <w:rFonts w:hint="default"/>
                <w:lang w:val="ro-RO"/>
              </w:rPr>
              <w:t>MCS</w:t>
            </w:r>
          </w:p>
        </w:tc>
      </w:tr>
      <w:tr w14:paraId="0197C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733" w:type="dxa"/>
            <w:vMerge w:val="continue"/>
          </w:tcPr>
          <w:p w14:paraId="5228DF18">
            <w:pPr>
              <w:pStyle w:val="39"/>
              <w:numPr>
                <w:ilvl w:val="0"/>
                <w:numId w:val="25"/>
              </w:numPr>
              <w:autoSpaceDE w:val="0"/>
              <w:autoSpaceDN w:val="0"/>
              <w:adjustRightInd w:val="0"/>
              <w:spacing w:after="160" w:line="276" w:lineRule="auto"/>
              <w:jc w:val="both"/>
              <w:rPr>
                <w:rFonts w:ascii="Times New Roman" w:hAnsi="Times New Roman" w:cs="Times New Roman"/>
                <w:color w:val="000000"/>
              </w:rPr>
            </w:pPr>
          </w:p>
        </w:tc>
        <w:tc>
          <w:tcPr>
            <w:tcW w:w="1663" w:type="dxa"/>
          </w:tcPr>
          <w:p w14:paraId="050371F7">
            <w:pPr>
              <w:pStyle w:val="61"/>
              <w:autoSpaceDE w:val="0"/>
              <w:autoSpaceDN w:val="0"/>
              <w:adjustRightInd w:val="0"/>
              <w:spacing w:after="160" w:line="276" w:lineRule="auto"/>
              <w:rPr>
                <w:rFonts w:ascii="Times New Roman" w:hAnsi="Times New Roman" w:cs="Times New Roman"/>
                <w:color w:val="000000"/>
              </w:rPr>
            </w:pPr>
            <w:r>
              <w:t>Gestionarea deșeurilor toxice/periculoase</w:t>
            </w:r>
          </w:p>
        </w:tc>
        <w:tc>
          <w:tcPr>
            <w:tcW w:w="4537" w:type="dxa"/>
          </w:tcPr>
          <w:p w14:paraId="7037D24A">
            <w:pPr>
              <w:pStyle w:val="80"/>
              <w:numPr>
                <w:ilvl w:val="0"/>
                <w:numId w:val="26"/>
              </w:numPr>
              <w:autoSpaceDE w:val="0"/>
              <w:autoSpaceDN w:val="0"/>
              <w:adjustRightInd w:val="0"/>
              <w:spacing w:after="0" w:line="276" w:lineRule="auto"/>
              <w:ind w:left="342" w:hanging="342"/>
              <w:jc w:val="both"/>
              <w:rPr>
                <w:rFonts w:ascii="Times New Roman" w:hAnsi="Times New Roman" w:cs="Times New Roman"/>
                <w:color w:val="000000"/>
              </w:rPr>
            </w:pPr>
            <w:r>
              <w:t xml:space="preserve">(a) Depozitarea temporară la fața locului a tuturor substanțelor periculoase sau toxice se va face în recipiente sigure, etichetate cu detalii privind compoziția, proprietățile și informațiile de manipulare. </w:t>
            </w:r>
          </w:p>
          <w:p w14:paraId="288B5E9D">
            <w:pPr>
              <w:pStyle w:val="80"/>
              <w:numPr>
                <w:ilvl w:val="0"/>
                <w:numId w:val="26"/>
              </w:numPr>
              <w:autoSpaceDE w:val="0"/>
              <w:autoSpaceDN w:val="0"/>
              <w:adjustRightInd w:val="0"/>
              <w:spacing w:after="0" w:line="276" w:lineRule="auto"/>
              <w:ind w:left="342"/>
              <w:jc w:val="both"/>
              <w:rPr>
                <w:rFonts w:ascii="Times New Roman" w:hAnsi="Times New Roman" w:cs="Times New Roman"/>
                <w:color w:val="000000"/>
              </w:rPr>
            </w:pPr>
            <w:r>
              <w:t xml:space="preserve">(b) Recipientele cu substanțe periculoase trebuie plasate într-un recipient etanș pentru a preveni scurgerile și percolarea. </w:t>
            </w:r>
          </w:p>
          <w:p w14:paraId="05B97F16">
            <w:pPr>
              <w:pStyle w:val="80"/>
              <w:numPr>
                <w:ilvl w:val="0"/>
                <w:numId w:val="26"/>
              </w:numPr>
              <w:autoSpaceDE w:val="0"/>
              <w:autoSpaceDN w:val="0"/>
              <w:adjustRightInd w:val="0"/>
              <w:spacing w:after="0" w:line="276" w:lineRule="auto"/>
              <w:ind w:left="342"/>
              <w:jc w:val="both"/>
              <w:rPr>
                <w:rFonts w:ascii="Times New Roman" w:hAnsi="Times New Roman" w:cs="Times New Roman"/>
                <w:color w:val="000000"/>
              </w:rPr>
            </w:pPr>
            <w:r>
              <w:t xml:space="preserve">(c) Deșeurile sunt transportate de transportatori special autorizați și eliminate într-o instalație autorizată. </w:t>
            </w:r>
          </w:p>
          <w:p w14:paraId="384D1E7F">
            <w:pPr>
              <w:pStyle w:val="80"/>
              <w:numPr>
                <w:ilvl w:val="0"/>
                <w:numId w:val="26"/>
              </w:numPr>
              <w:autoSpaceDE w:val="0"/>
              <w:autoSpaceDN w:val="0"/>
              <w:adjustRightInd w:val="0"/>
              <w:spacing w:after="0" w:line="276" w:lineRule="auto"/>
              <w:ind w:left="342"/>
              <w:jc w:val="both"/>
              <w:rPr>
                <w:rFonts w:ascii="Times New Roman" w:hAnsi="Times New Roman" w:cs="Times New Roman"/>
                <w:color w:val="000000"/>
              </w:rPr>
            </w:pPr>
            <w:r>
              <w:t>(d) Vopselele cu ingrediente toxice sau solvenți sau vopselele pe bază de plumb nu vor fi utilizate</w:t>
            </w:r>
          </w:p>
        </w:tc>
        <w:tc>
          <w:tcPr>
            <w:tcW w:w="1985" w:type="dxa"/>
          </w:tcPr>
          <w:p w14:paraId="03471E36">
            <w:pPr>
              <w:pStyle w:val="80"/>
              <w:autoSpaceDE w:val="0"/>
              <w:autoSpaceDN w:val="0"/>
              <w:adjustRightInd w:val="0"/>
              <w:spacing w:after="0" w:line="276" w:lineRule="auto"/>
              <w:ind w:left="342"/>
              <w:jc w:val="both"/>
              <w:rPr>
                <w:rFonts w:ascii="Times New Roman" w:hAnsi="Times New Roman" w:cs="Times New Roman"/>
                <w:color w:val="000000"/>
              </w:rPr>
            </w:pPr>
            <w:r>
              <w:t>Contractantul</w:t>
            </w:r>
          </w:p>
        </w:tc>
      </w:tr>
      <w:tr w14:paraId="5D03C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restart"/>
          </w:tcPr>
          <w:p w14:paraId="37CB48E3">
            <w:pPr>
              <w:pStyle w:val="80"/>
              <w:numPr>
                <w:ilvl w:val="0"/>
                <w:numId w:val="16"/>
              </w:numPr>
              <w:autoSpaceDE w:val="0"/>
              <w:autoSpaceDN w:val="0"/>
              <w:adjustRightInd w:val="0"/>
              <w:spacing w:after="0" w:line="276" w:lineRule="auto"/>
              <w:ind w:left="360"/>
              <w:jc w:val="both"/>
              <w:rPr>
                <w:rFonts w:ascii="Times New Roman" w:hAnsi="Times New Roman" w:cs="Times New Roman"/>
                <w:color w:val="000000"/>
              </w:rPr>
            </w:pPr>
            <w:r>
              <w:t>Siguranța traficului și a pietonilor</w:t>
            </w:r>
          </w:p>
        </w:tc>
        <w:tc>
          <w:tcPr>
            <w:tcW w:w="1663" w:type="dxa"/>
          </w:tcPr>
          <w:p w14:paraId="0CB80D34">
            <w:pPr>
              <w:pStyle w:val="61"/>
              <w:autoSpaceDE w:val="0"/>
              <w:autoSpaceDN w:val="0"/>
              <w:adjustRightInd w:val="0"/>
              <w:spacing w:after="160" w:line="276" w:lineRule="auto"/>
              <w:jc w:val="both"/>
              <w:rPr>
                <w:rFonts w:ascii="Times New Roman" w:hAnsi="Times New Roman" w:cs="Times New Roman"/>
                <w:color w:val="000000"/>
              </w:rPr>
            </w:pPr>
            <w:r>
              <w:t>Pericole directe sau indirecte pentru traficul public și pietoni cauzate de activitățile de construcție</w:t>
            </w:r>
          </w:p>
        </w:tc>
        <w:tc>
          <w:tcPr>
            <w:tcW w:w="4537" w:type="dxa"/>
          </w:tcPr>
          <w:p w14:paraId="0BDF2F94">
            <w:pPr>
              <w:pStyle w:val="80"/>
              <w:numPr>
                <w:ilvl w:val="0"/>
                <w:numId w:val="27"/>
              </w:numPr>
              <w:autoSpaceDE w:val="0"/>
              <w:autoSpaceDN w:val="0"/>
              <w:adjustRightInd w:val="0"/>
              <w:spacing w:after="160" w:line="276" w:lineRule="auto"/>
              <w:ind w:left="342"/>
              <w:jc w:val="both"/>
              <w:rPr>
                <w:rFonts w:ascii="Times New Roman" w:hAnsi="Times New Roman" w:cs="Times New Roman"/>
                <w:color w:val="000000"/>
              </w:rPr>
            </w:pPr>
            <w:r>
              <w:t xml:space="preserve">În conformitate cu reglementările naționale, contractantul se va asigura că șantierul de construcții este securizat în mod corespunzător și că traficul legat de construcții este reglementat. Aceasta include, dar nu se limitează la: </w:t>
            </w:r>
          </w:p>
          <w:p w14:paraId="0C30F046">
            <w:pPr>
              <w:pStyle w:val="80"/>
              <w:numPr>
                <w:ilvl w:val="0"/>
                <w:numId w:val="28"/>
              </w:numPr>
              <w:autoSpaceDE w:val="0"/>
              <w:autoSpaceDN w:val="0"/>
              <w:adjustRightInd w:val="0"/>
              <w:spacing w:after="160" w:line="276" w:lineRule="auto"/>
              <w:ind w:left="612" w:hanging="180"/>
              <w:jc w:val="both"/>
              <w:rPr>
                <w:rFonts w:ascii="Times New Roman" w:hAnsi="Times New Roman" w:cs="Times New Roman"/>
                <w:color w:val="000000"/>
              </w:rPr>
            </w:pPr>
            <w:r>
              <w:t xml:space="preserve"> Semnalizare, semne de avertizare, bariere și devieri ale traficului: site-ul va fi vizibil în mod clar, iar publicul va fi avertizat cu privire la toate pericolele potențiale </w:t>
            </w:r>
          </w:p>
          <w:p w14:paraId="4C7E670D">
            <w:pPr>
              <w:pStyle w:val="80"/>
              <w:numPr>
                <w:ilvl w:val="0"/>
                <w:numId w:val="28"/>
              </w:numPr>
              <w:autoSpaceDE w:val="0"/>
              <w:autoSpaceDN w:val="0"/>
              <w:adjustRightInd w:val="0"/>
              <w:spacing w:after="160" w:line="276" w:lineRule="auto"/>
              <w:ind w:left="612" w:hanging="180"/>
              <w:jc w:val="both"/>
              <w:rPr>
                <w:rFonts w:ascii="Times New Roman" w:hAnsi="Times New Roman" w:cs="Times New Roman"/>
                <w:color w:val="000000"/>
              </w:rPr>
            </w:pPr>
            <w:r>
              <w:t xml:space="preserve">Sistemul de management al traficului și instruirea personalului, în special pentru accesul la amplasament și traficul intens din apropierea amplasamentului. Furnizarea de pasaje și treceri sigure pentru pietoni în cazul în care traficul de construcții interferează. </w:t>
            </w:r>
          </w:p>
          <w:p w14:paraId="28442B5A">
            <w:pPr>
              <w:pStyle w:val="80"/>
              <w:numPr>
                <w:ilvl w:val="0"/>
                <w:numId w:val="28"/>
              </w:numPr>
              <w:autoSpaceDE w:val="0"/>
              <w:autoSpaceDN w:val="0"/>
              <w:adjustRightInd w:val="0"/>
              <w:spacing w:after="0" w:line="276" w:lineRule="auto"/>
              <w:ind w:left="612" w:hanging="180"/>
              <w:jc w:val="both"/>
              <w:rPr>
                <w:rFonts w:ascii="Times New Roman" w:hAnsi="Times New Roman" w:cs="Times New Roman"/>
                <w:color w:val="000000"/>
              </w:rPr>
            </w:pPr>
            <w:r>
              <w:t xml:space="preserve"> Adaptarea programului de lucru la modelele de trafic local, de exemplu evitarea activităților majore de transport în timpul orelor de vârf sau al perioadelor de deplasare a animalelor </w:t>
            </w:r>
          </w:p>
          <w:p w14:paraId="5A3FD610">
            <w:pPr>
              <w:pStyle w:val="80"/>
              <w:numPr>
                <w:ilvl w:val="0"/>
                <w:numId w:val="28"/>
              </w:numPr>
              <w:autoSpaceDE w:val="0"/>
              <w:autoSpaceDN w:val="0"/>
              <w:adjustRightInd w:val="0"/>
              <w:spacing w:after="160" w:line="276" w:lineRule="auto"/>
              <w:ind w:left="612" w:hanging="180"/>
              <w:jc w:val="both"/>
              <w:rPr>
                <w:rFonts w:ascii="Times New Roman" w:hAnsi="Times New Roman" w:cs="Times New Roman"/>
                <w:color w:val="000000"/>
              </w:rPr>
            </w:pPr>
            <w:r>
              <w:t xml:space="preserve">Gestionarea activă a traficului de către personal instruit și vizibil la fața locului, dacă este necesar pentru trecerea sigură și convenabilă pentru public. </w:t>
            </w:r>
          </w:p>
          <w:p w14:paraId="0CFD3EA4">
            <w:pPr>
              <w:pStyle w:val="73"/>
              <w:numPr>
                <w:ilvl w:val="0"/>
                <w:numId w:val="28"/>
              </w:numPr>
              <w:autoSpaceDE w:val="0"/>
              <w:autoSpaceDN w:val="0"/>
              <w:adjustRightInd w:val="0"/>
              <w:spacing w:after="160" w:line="276" w:lineRule="auto"/>
              <w:ind w:left="612" w:hanging="180"/>
              <w:jc w:val="both"/>
              <w:rPr>
                <w:rFonts w:ascii="Times New Roman" w:hAnsi="Times New Roman" w:cs="Times New Roman"/>
                <w:color w:val="000000"/>
              </w:rPr>
            </w:pPr>
            <w:r>
              <w:rPr>
                <w:color w:val="000000"/>
              </w:rPr>
              <w:t>Asigurarea accesului sigur și continuu la spațiile de birouri, magazine și reședințe în timpul activităților de renovare, în cazul în care clădirile rămân deschise publicului.</w:t>
            </w:r>
          </w:p>
          <w:p w14:paraId="5E0410C2">
            <w:pPr>
              <w:autoSpaceDE w:val="0"/>
              <w:autoSpaceDN w:val="0"/>
              <w:adjustRightInd w:val="0"/>
              <w:spacing w:after="0" w:line="276" w:lineRule="auto"/>
              <w:ind w:left="432"/>
              <w:jc w:val="both"/>
              <w:rPr>
                <w:rFonts w:ascii="Times New Roman" w:hAnsi="Times New Roman" w:cs="Times New Roman"/>
                <w:color w:val="000000"/>
              </w:rPr>
            </w:pPr>
          </w:p>
        </w:tc>
        <w:tc>
          <w:tcPr>
            <w:tcW w:w="1985" w:type="dxa"/>
          </w:tcPr>
          <w:p w14:paraId="7B0AD66E">
            <w:pPr>
              <w:pStyle w:val="80"/>
              <w:autoSpaceDE w:val="0"/>
              <w:autoSpaceDN w:val="0"/>
              <w:adjustRightInd w:val="0"/>
              <w:spacing w:after="0" w:line="276" w:lineRule="auto"/>
              <w:ind w:left="342"/>
              <w:jc w:val="both"/>
              <w:rPr>
                <w:rFonts w:ascii="Times New Roman" w:hAnsi="Times New Roman" w:cs="Times New Roman"/>
                <w:color w:val="000000"/>
              </w:rPr>
            </w:pPr>
            <w:r>
              <w:t>Contractantul</w:t>
            </w:r>
          </w:p>
        </w:tc>
      </w:tr>
      <w:tr w14:paraId="1CB5F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69B75AA3">
            <w:pPr>
              <w:pStyle w:val="39"/>
              <w:autoSpaceDE w:val="0"/>
              <w:autoSpaceDN w:val="0"/>
              <w:adjustRightInd w:val="0"/>
              <w:spacing w:after="0" w:line="276" w:lineRule="auto"/>
              <w:ind w:left="360"/>
              <w:jc w:val="both"/>
              <w:rPr>
                <w:rFonts w:ascii="Times New Roman" w:hAnsi="Times New Roman" w:cs="Times New Roman"/>
                <w:color w:val="000000"/>
              </w:rPr>
            </w:pPr>
          </w:p>
        </w:tc>
        <w:tc>
          <w:tcPr>
            <w:tcW w:w="1663" w:type="dxa"/>
          </w:tcPr>
          <w:p w14:paraId="3A1D0D6F">
            <w:pPr>
              <w:pStyle w:val="61"/>
              <w:autoSpaceDE w:val="0"/>
              <w:autoSpaceDN w:val="0"/>
              <w:adjustRightInd w:val="0"/>
              <w:spacing w:after="0" w:line="276" w:lineRule="auto"/>
              <w:jc w:val="both"/>
              <w:rPr>
                <w:rFonts w:ascii="Times New Roman" w:hAnsi="Times New Roman" w:cs="Times New Roman"/>
                <w:color w:val="000000"/>
              </w:rPr>
            </w:pPr>
            <w:r>
              <w:t>Riscuri sociale indirecte potențiale (construcție și exploatare timpurie)</w:t>
            </w:r>
          </w:p>
        </w:tc>
        <w:tc>
          <w:tcPr>
            <w:tcW w:w="4537" w:type="dxa"/>
          </w:tcPr>
          <w:p w14:paraId="6632FBD6">
            <w:pPr>
              <w:pStyle w:val="73"/>
              <w:numPr>
                <w:ilvl w:val="1"/>
                <w:numId w:val="4"/>
              </w:numPr>
              <w:autoSpaceDE w:val="0"/>
              <w:autoSpaceDN w:val="0"/>
              <w:adjustRightInd w:val="0"/>
              <w:spacing w:after="0" w:line="276" w:lineRule="auto"/>
              <w:jc w:val="both"/>
              <w:rPr>
                <w:rFonts w:ascii="Times New Roman" w:hAnsi="Times New Roman" w:cs="Times New Roman"/>
                <w:color w:val="000000"/>
              </w:rPr>
            </w:pPr>
            <w:r>
              <w:t>Măsuri de atenuare pentru perioada pre-bypass (construcție și exploatare timpurie)</w:t>
            </w:r>
          </w:p>
          <w:p w14:paraId="23AABEE4">
            <w:pPr>
              <w:pStyle w:val="80"/>
              <w:numPr>
                <w:ilvl w:val="1"/>
                <w:numId w:val="29"/>
              </w:numPr>
              <w:autoSpaceDE w:val="0"/>
              <w:autoSpaceDN w:val="0"/>
              <w:adjustRightInd w:val="0"/>
              <w:spacing w:after="0" w:line="276" w:lineRule="auto"/>
              <w:jc w:val="both"/>
              <w:rPr>
                <w:rFonts w:ascii="Times New Roman" w:hAnsi="Times New Roman" w:cs="Times New Roman"/>
                <w:color w:val="000000"/>
              </w:rPr>
            </w:pPr>
            <w:r>
              <w:t>Instalați semnalizare temporară, denivelări de viteză și bariere pe drumurile din sat pentru a descuraja intrarea neautorizată a camioanelor, limitele de viteză fiind reduse la 30-40 km/h în zonele rezidențiale.</w:t>
            </w:r>
          </w:p>
          <w:p w14:paraId="6869F2B0">
            <w:pPr>
              <w:pStyle w:val="80"/>
              <w:numPr>
                <w:ilvl w:val="1"/>
                <w:numId w:val="29"/>
              </w:numPr>
              <w:autoSpaceDE w:val="0"/>
              <w:autoSpaceDN w:val="0"/>
              <w:adjustRightInd w:val="0"/>
              <w:spacing w:after="0" w:line="276" w:lineRule="auto"/>
              <w:jc w:val="both"/>
              <w:rPr>
                <w:rFonts w:ascii="Times New Roman" w:hAnsi="Times New Roman" w:cs="Times New Roman"/>
                <w:color w:val="000000"/>
              </w:rPr>
            </w:pPr>
            <w:r>
              <w:t>Coordonarea cu poliția locală pentru intensificarea patrulelor și aplicarea restricțiilor privind camioanele (de exemplu, amenzi pentru camioanele non-locale care utilizează drumurile din sat).</w:t>
            </w:r>
          </w:p>
          <w:p w14:paraId="43903D2D">
            <w:pPr>
              <w:pStyle w:val="80"/>
              <w:numPr>
                <w:ilvl w:val="1"/>
                <w:numId w:val="29"/>
              </w:numPr>
              <w:autoSpaceDE w:val="0"/>
              <w:autoSpaceDN w:val="0"/>
              <w:adjustRightInd w:val="0"/>
              <w:spacing w:after="0" w:line="276" w:lineRule="auto"/>
              <w:jc w:val="both"/>
              <w:rPr>
                <w:rFonts w:ascii="Times New Roman" w:hAnsi="Times New Roman" w:cs="Times New Roman"/>
                <w:color w:val="000000"/>
              </w:rPr>
            </w:pPr>
            <w:r>
              <w:t>Monitorizați zilnic volumele camioanelor în timpul construcției și exploatării timpurii, utilizând sisteme electronice de așteptare pentru a eșalona camioanele în afara satului și pentru a preveni parcarea supraîncărcată.</w:t>
            </w:r>
          </w:p>
          <w:p w14:paraId="07993C96">
            <w:pPr>
              <w:pStyle w:val="80"/>
              <w:numPr>
                <w:ilvl w:val="1"/>
                <w:numId w:val="29"/>
              </w:numPr>
              <w:autoSpaceDE w:val="0"/>
              <w:autoSpaceDN w:val="0"/>
              <w:adjustRightInd w:val="0"/>
              <w:spacing w:after="0" w:line="276" w:lineRule="auto"/>
              <w:jc w:val="both"/>
              <w:rPr>
                <w:rFonts w:ascii="Times New Roman" w:hAnsi="Times New Roman" w:cs="Times New Roman"/>
                <w:color w:val="000000"/>
              </w:rPr>
            </w:pPr>
            <w:r>
              <w:t>Desfășurați campanii de sensibilizare a comunității (de exemplu, prin intermediul reuniunilor SIMC) pentru a informa rezidenții cu privire la schimbările de trafic și pentru a oferi actualizări în timp real cu privire la progresul construcției.</w:t>
            </w:r>
          </w:p>
        </w:tc>
        <w:tc>
          <w:tcPr>
            <w:tcW w:w="1985" w:type="dxa"/>
          </w:tcPr>
          <w:p w14:paraId="1DE981A3">
            <w:pPr>
              <w:pStyle w:val="73"/>
              <w:autoSpaceDE w:val="0"/>
              <w:autoSpaceDN w:val="0"/>
              <w:adjustRightInd w:val="0"/>
              <w:spacing w:after="0" w:line="276" w:lineRule="auto"/>
              <w:ind w:left="360"/>
              <w:jc w:val="both"/>
              <w:rPr>
                <w:rFonts w:ascii="Times New Roman" w:hAnsi="Times New Roman" w:cs="Times New Roman"/>
              </w:rPr>
            </w:pPr>
            <w:r>
              <w:rPr>
                <w:rFonts w:hint="default"/>
                <w:lang w:val="ro-RO"/>
              </w:rPr>
              <w:t>-</w:t>
            </w:r>
            <w:r>
              <w:t xml:space="preserve">Contractantul </w:t>
            </w:r>
          </w:p>
          <w:p w14:paraId="3B64D9BA">
            <w:pPr>
              <w:pStyle w:val="73"/>
              <w:autoSpaceDE w:val="0"/>
              <w:autoSpaceDN w:val="0"/>
              <w:adjustRightInd w:val="0"/>
              <w:spacing w:after="0" w:line="276" w:lineRule="auto"/>
              <w:ind w:left="360"/>
              <w:jc w:val="both"/>
              <w:rPr>
                <w:rFonts w:hint="default" w:ascii="Times New Roman" w:hAnsi="Times New Roman" w:cs="Times New Roman"/>
                <w:lang w:val="ro-RO"/>
              </w:rPr>
            </w:pPr>
            <w:r>
              <w:t xml:space="preserve">- </w:t>
            </w:r>
            <w:r>
              <w:rPr>
                <w:rFonts w:hint="default"/>
                <w:lang w:val="ro-RO"/>
              </w:rPr>
              <w:t>MCS</w:t>
            </w:r>
          </w:p>
          <w:p w14:paraId="1710B8B4">
            <w:pPr>
              <w:pStyle w:val="73"/>
              <w:autoSpaceDE w:val="0"/>
              <w:autoSpaceDN w:val="0"/>
              <w:adjustRightInd w:val="0"/>
              <w:spacing w:after="0" w:line="276" w:lineRule="auto"/>
              <w:ind w:left="360"/>
              <w:jc w:val="both"/>
              <w:rPr>
                <w:rFonts w:ascii="Times New Roman" w:hAnsi="Times New Roman" w:cs="Times New Roman"/>
              </w:rPr>
            </w:pPr>
            <w:r>
              <w:rPr>
                <w:rFonts w:hint="default"/>
                <w:lang w:val="ro-RO"/>
              </w:rPr>
              <w:t>-</w:t>
            </w:r>
            <w:r>
              <w:t>Poliția rutieră</w:t>
            </w:r>
          </w:p>
        </w:tc>
      </w:tr>
      <w:tr w14:paraId="7E2CE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restart"/>
            <w:vAlign w:val="center"/>
          </w:tcPr>
          <w:p w14:paraId="5F6C1B6B">
            <w:pPr>
              <w:pStyle w:val="80"/>
              <w:numPr>
                <w:ilvl w:val="0"/>
                <w:numId w:val="16"/>
              </w:numPr>
              <w:autoSpaceDE w:val="0"/>
              <w:autoSpaceDN w:val="0"/>
              <w:adjustRightInd w:val="0"/>
              <w:spacing w:after="0" w:line="276" w:lineRule="auto"/>
              <w:rPr>
                <w:rFonts w:ascii="Times New Roman" w:hAnsi="Times New Roman" w:cs="Times New Roman"/>
                <w:color w:val="000000"/>
              </w:rPr>
            </w:pPr>
            <w:r>
              <w:t>Securitate socială/Impacturi sociale</w:t>
            </w:r>
          </w:p>
          <w:p w14:paraId="4FECA588">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04BE045F">
            <w:pPr>
              <w:pStyle w:val="61"/>
              <w:autoSpaceDE w:val="0"/>
              <w:autoSpaceDN w:val="0"/>
              <w:adjustRightInd w:val="0"/>
              <w:spacing w:after="0" w:line="276" w:lineRule="auto"/>
              <w:rPr>
                <w:rFonts w:ascii="Times New Roman" w:hAnsi="Times New Roman" w:cs="Times New Roman"/>
                <w:color w:val="000000"/>
              </w:rPr>
            </w:pPr>
            <w:r>
              <w:t>Angajamentul comunității.</w:t>
            </w:r>
          </w:p>
          <w:p w14:paraId="4497346A">
            <w:pPr>
              <w:pStyle w:val="61"/>
              <w:autoSpaceDE w:val="0"/>
              <w:autoSpaceDN w:val="0"/>
              <w:adjustRightInd w:val="0"/>
              <w:spacing w:after="0" w:line="276" w:lineRule="auto"/>
              <w:rPr>
                <w:rFonts w:ascii="Times New Roman" w:hAnsi="Times New Roman" w:cs="Times New Roman"/>
                <w:color w:val="000000"/>
              </w:rPr>
            </w:pPr>
            <w:r>
              <w:t>Riscurile lipsei de informații sau ale dezinformării</w:t>
            </w:r>
          </w:p>
        </w:tc>
        <w:tc>
          <w:tcPr>
            <w:tcW w:w="4537" w:type="dxa"/>
          </w:tcPr>
          <w:p w14:paraId="6C00CFBD">
            <w:pPr>
              <w:pStyle w:val="80"/>
              <w:numPr>
                <w:ilvl w:val="1"/>
                <w:numId w:val="4"/>
              </w:numPr>
              <w:autoSpaceDE w:val="0"/>
              <w:autoSpaceDN w:val="0"/>
              <w:adjustRightInd w:val="0"/>
              <w:spacing w:after="0" w:line="276" w:lineRule="auto"/>
              <w:jc w:val="both"/>
              <w:rPr>
                <w:rFonts w:ascii="Times New Roman" w:hAnsi="Times New Roman" w:cs="Times New Roman"/>
                <w:color w:val="000000"/>
              </w:rPr>
            </w:pPr>
            <w:r>
              <w:t>activități de implicare a părților interesate, inclusiv implicarea grupurilor vulnerabile; Planificarea acestor activități.</w:t>
            </w:r>
          </w:p>
          <w:p w14:paraId="0F8C8607">
            <w:pPr>
              <w:pStyle w:val="80"/>
              <w:numPr>
                <w:ilvl w:val="1"/>
                <w:numId w:val="4"/>
              </w:numPr>
              <w:autoSpaceDE w:val="0"/>
              <w:autoSpaceDN w:val="0"/>
              <w:adjustRightInd w:val="0"/>
              <w:spacing w:after="0" w:line="276" w:lineRule="auto"/>
              <w:jc w:val="both"/>
              <w:rPr>
                <w:rFonts w:ascii="Times New Roman" w:hAnsi="Times New Roman" w:cs="Times New Roman"/>
                <w:color w:val="000000"/>
              </w:rPr>
            </w:pPr>
            <w:r>
              <w:t>Partajarea periodică a actualizărilor proiectului; implicarea liderilor locali și a grupurilor vulnerabile.</w:t>
            </w:r>
          </w:p>
          <w:p w14:paraId="77C29075">
            <w:pPr>
              <w:pStyle w:val="80"/>
              <w:numPr>
                <w:ilvl w:val="1"/>
                <w:numId w:val="4"/>
              </w:numPr>
              <w:autoSpaceDE w:val="0"/>
              <w:autoSpaceDN w:val="0"/>
              <w:adjustRightInd w:val="0"/>
              <w:spacing w:after="0" w:line="276" w:lineRule="auto"/>
              <w:jc w:val="both"/>
              <w:rPr>
                <w:rFonts w:ascii="Times New Roman" w:hAnsi="Times New Roman" w:cs="Times New Roman"/>
                <w:color w:val="000000"/>
              </w:rPr>
            </w:pPr>
            <w:r>
              <w:t>Documentarea feedback-urilor și luarea în considerare a observațiilor părților interesate.</w:t>
            </w:r>
          </w:p>
        </w:tc>
        <w:tc>
          <w:tcPr>
            <w:tcW w:w="1985" w:type="dxa"/>
          </w:tcPr>
          <w:p w14:paraId="1C08FCEE">
            <w:pPr>
              <w:pStyle w:val="80"/>
              <w:autoSpaceDE w:val="0"/>
              <w:autoSpaceDN w:val="0"/>
              <w:adjustRightInd w:val="0"/>
              <w:spacing w:after="0" w:line="276" w:lineRule="auto"/>
              <w:ind w:left="360"/>
              <w:jc w:val="both"/>
              <w:rPr>
                <w:rFonts w:ascii="Times New Roman" w:hAnsi="Times New Roman" w:cs="Times New Roman"/>
                <w:color w:val="000000"/>
              </w:rPr>
            </w:pPr>
            <w:r>
              <w:t>MCS</w:t>
            </w:r>
          </w:p>
        </w:tc>
      </w:tr>
      <w:tr w14:paraId="40E9F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68CDB4A0">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0ACBF95A">
            <w:pPr>
              <w:pStyle w:val="61"/>
              <w:autoSpaceDE w:val="0"/>
              <w:autoSpaceDN w:val="0"/>
              <w:adjustRightInd w:val="0"/>
              <w:spacing w:after="0" w:line="276" w:lineRule="auto"/>
              <w:rPr>
                <w:rFonts w:ascii="Times New Roman" w:hAnsi="Times New Roman" w:cs="Times New Roman"/>
                <w:color w:val="000000"/>
              </w:rPr>
            </w:pPr>
            <w:r>
              <w:t xml:space="preserve">Procesul de soluționare a reclamațiilor. </w:t>
            </w:r>
          </w:p>
          <w:p w14:paraId="36975BDB">
            <w:pPr>
              <w:pStyle w:val="61"/>
              <w:autoSpaceDE w:val="0"/>
              <w:autoSpaceDN w:val="0"/>
              <w:adjustRightInd w:val="0"/>
              <w:spacing w:after="0" w:line="276" w:lineRule="auto"/>
              <w:rPr>
                <w:rFonts w:ascii="Times New Roman" w:hAnsi="Times New Roman" w:cs="Times New Roman"/>
                <w:color w:val="000000"/>
              </w:rPr>
            </w:pPr>
            <w:r>
              <w:t>Riscurile unor preocupări nesoluționate</w:t>
            </w:r>
          </w:p>
        </w:tc>
        <w:tc>
          <w:tcPr>
            <w:tcW w:w="4537" w:type="dxa"/>
          </w:tcPr>
          <w:p w14:paraId="36B07ECB">
            <w:pPr>
              <w:pStyle w:val="80"/>
              <w:numPr>
                <w:ilvl w:val="0"/>
                <w:numId w:val="30"/>
              </w:numPr>
              <w:autoSpaceDE w:val="0"/>
              <w:autoSpaceDN w:val="0"/>
              <w:adjustRightInd w:val="0"/>
              <w:spacing w:after="0" w:line="276" w:lineRule="auto"/>
              <w:jc w:val="both"/>
              <w:rPr>
                <w:rFonts w:ascii="Times New Roman" w:hAnsi="Times New Roman" w:cs="Times New Roman"/>
                <w:color w:val="000000"/>
              </w:rPr>
            </w:pPr>
            <w:r>
              <w:t>Mecanismul confidențial de soluționare a reclamațiilor.</w:t>
            </w:r>
          </w:p>
          <w:p w14:paraId="67ABB274">
            <w:pPr>
              <w:pStyle w:val="80"/>
              <w:numPr>
                <w:ilvl w:val="0"/>
                <w:numId w:val="30"/>
              </w:numPr>
              <w:autoSpaceDE w:val="0"/>
              <w:autoSpaceDN w:val="0"/>
              <w:adjustRightInd w:val="0"/>
              <w:spacing w:after="0" w:line="276" w:lineRule="auto"/>
              <w:jc w:val="both"/>
              <w:rPr>
                <w:rFonts w:ascii="Times New Roman" w:hAnsi="Times New Roman" w:cs="Times New Roman"/>
                <w:color w:val="000000"/>
              </w:rPr>
            </w:pPr>
            <w:r>
              <w:t>Soluționarea în timp util a plângerilor, documentarea adecvată a acestora și comunicarea periodică cu privire la rezultate. Să se asigure că plângerile anonime sunt tratate cu aceeași diligență și capacitate de reacție.</w:t>
            </w:r>
          </w:p>
        </w:tc>
        <w:tc>
          <w:tcPr>
            <w:tcW w:w="1985" w:type="dxa"/>
          </w:tcPr>
          <w:p w14:paraId="20BD803C">
            <w:pPr>
              <w:pStyle w:val="80"/>
              <w:numPr>
                <w:ilvl w:val="0"/>
                <w:numId w:val="31"/>
              </w:numPr>
              <w:autoSpaceDE w:val="0"/>
              <w:autoSpaceDN w:val="0"/>
              <w:adjustRightInd w:val="0"/>
              <w:spacing w:after="0" w:line="276" w:lineRule="auto"/>
              <w:ind w:left="529"/>
              <w:jc w:val="both"/>
              <w:rPr>
                <w:rFonts w:ascii="Times New Roman" w:hAnsi="Times New Roman" w:cs="Times New Roman"/>
                <w:color w:val="000000"/>
              </w:rPr>
            </w:pPr>
            <w:r>
              <w:t>Contractantul</w:t>
            </w:r>
          </w:p>
          <w:p w14:paraId="544E1AFA">
            <w:pPr>
              <w:pStyle w:val="80"/>
              <w:numPr>
                <w:ilvl w:val="0"/>
                <w:numId w:val="31"/>
              </w:numPr>
              <w:autoSpaceDE w:val="0"/>
              <w:autoSpaceDN w:val="0"/>
              <w:adjustRightInd w:val="0"/>
              <w:spacing w:after="0" w:line="276" w:lineRule="auto"/>
              <w:ind w:left="529"/>
              <w:jc w:val="both"/>
              <w:rPr>
                <w:rFonts w:ascii="Times New Roman" w:hAnsi="Times New Roman" w:cs="Times New Roman"/>
                <w:color w:val="000000"/>
              </w:rPr>
            </w:pPr>
            <w:r>
              <w:t>MCS</w:t>
            </w:r>
          </w:p>
        </w:tc>
      </w:tr>
      <w:tr w14:paraId="67823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0D4F1454">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6F29C168">
            <w:pPr>
              <w:pStyle w:val="61"/>
              <w:autoSpaceDE w:val="0"/>
              <w:autoSpaceDN w:val="0"/>
              <w:adjustRightInd w:val="0"/>
              <w:spacing w:after="0" w:line="276" w:lineRule="auto"/>
              <w:rPr>
                <w:rFonts w:ascii="Times New Roman" w:hAnsi="Times New Roman" w:cs="Times New Roman"/>
                <w:color w:val="000000"/>
              </w:rPr>
            </w:pPr>
            <w:r>
              <w:t>Angajarea forței de muncă locale.</w:t>
            </w:r>
          </w:p>
          <w:p w14:paraId="2DCB8454">
            <w:pPr>
              <w:pStyle w:val="61"/>
              <w:autoSpaceDE w:val="0"/>
              <w:autoSpaceDN w:val="0"/>
              <w:adjustRightInd w:val="0"/>
              <w:spacing w:after="0" w:line="276" w:lineRule="auto"/>
              <w:rPr>
                <w:rFonts w:ascii="Times New Roman" w:hAnsi="Times New Roman" w:cs="Times New Roman"/>
                <w:color w:val="000000"/>
              </w:rPr>
            </w:pPr>
            <w:r>
              <w:t>Riscurile oportunităților inegale</w:t>
            </w:r>
          </w:p>
        </w:tc>
        <w:tc>
          <w:tcPr>
            <w:tcW w:w="4537" w:type="dxa"/>
          </w:tcPr>
          <w:p w14:paraId="5F28FD15">
            <w:pPr>
              <w:pStyle w:val="80"/>
              <w:numPr>
                <w:ilvl w:val="0"/>
                <w:numId w:val="32"/>
              </w:numPr>
              <w:autoSpaceDE w:val="0"/>
              <w:autoSpaceDN w:val="0"/>
              <w:adjustRightInd w:val="0"/>
              <w:spacing w:after="0" w:line="276" w:lineRule="auto"/>
              <w:jc w:val="both"/>
              <w:rPr>
                <w:rFonts w:ascii="Times New Roman" w:hAnsi="Times New Roman" w:cs="Times New Roman"/>
                <w:color w:val="000000"/>
              </w:rPr>
            </w:pPr>
            <w:r>
              <w:t>Promovarea practicilor de angajare incluzive.</w:t>
            </w:r>
          </w:p>
          <w:p w14:paraId="1590D5C9">
            <w:pPr>
              <w:pStyle w:val="80"/>
              <w:numPr>
                <w:ilvl w:val="0"/>
                <w:numId w:val="32"/>
              </w:numPr>
              <w:autoSpaceDE w:val="0"/>
              <w:autoSpaceDN w:val="0"/>
              <w:adjustRightInd w:val="0"/>
              <w:spacing w:after="0" w:line="276" w:lineRule="auto"/>
              <w:jc w:val="both"/>
              <w:rPr>
                <w:rFonts w:ascii="Times New Roman" w:hAnsi="Times New Roman" w:cs="Times New Roman"/>
                <w:color w:val="000000"/>
              </w:rPr>
            </w:pPr>
            <w:r>
              <w:t>Prioritizarea lucrătorilor locali acolo unde este posibil.</w:t>
            </w:r>
          </w:p>
          <w:p w14:paraId="73A04BA0">
            <w:pPr>
              <w:pStyle w:val="80"/>
              <w:numPr>
                <w:ilvl w:val="0"/>
                <w:numId w:val="32"/>
              </w:numPr>
              <w:autoSpaceDE w:val="0"/>
              <w:autoSpaceDN w:val="0"/>
              <w:adjustRightInd w:val="0"/>
              <w:spacing w:after="0" w:line="276" w:lineRule="auto"/>
              <w:jc w:val="both"/>
              <w:rPr>
                <w:rFonts w:ascii="Times New Roman" w:hAnsi="Times New Roman" w:cs="Times New Roman"/>
                <w:color w:val="000000"/>
              </w:rPr>
            </w:pPr>
            <w:r>
              <w:t>Asigurarea unor criterii transparente privind locurile de muncă și a unei remunerări egale pentru muncă egală.</w:t>
            </w:r>
          </w:p>
        </w:tc>
        <w:tc>
          <w:tcPr>
            <w:tcW w:w="1985" w:type="dxa"/>
          </w:tcPr>
          <w:p w14:paraId="36920AE4">
            <w:pPr>
              <w:pStyle w:val="80"/>
              <w:autoSpaceDE w:val="0"/>
              <w:autoSpaceDN w:val="0"/>
              <w:adjustRightInd w:val="0"/>
              <w:spacing w:after="0" w:line="276" w:lineRule="auto"/>
              <w:jc w:val="both"/>
              <w:rPr>
                <w:rFonts w:ascii="Times New Roman" w:hAnsi="Times New Roman" w:cs="Times New Roman"/>
                <w:color w:val="000000"/>
              </w:rPr>
            </w:pPr>
            <w:r>
              <w:t>Contractantul</w:t>
            </w:r>
          </w:p>
        </w:tc>
      </w:tr>
      <w:tr w14:paraId="6F0D0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38081343">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4ED15069">
            <w:pPr>
              <w:pStyle w:val="61"/>
              <w:autoSpaceDE w:val="0"/>
              <w:autoSpaceDN w:val="0"/>
              <w:adjustRightInd w:val="0"/>
              <w:spacing w:after="0" w:line="276" w:lineRule="auto"/>
              <w:rPr>
                <w:rFonts w:ascii="Times New Roman" w:hAnsi="Times New Roman" w:cs="Times New Roman"/>
                <w:color w:val="000000"/>
              </w:rPr>
            </w:pPr>
            <w:r>
              <w:t>Interacțiunea dintre muncitori și membrii comunității.</w:t>
            </w:r>
          </w:p>
          <w:p w14:paraId="28D7BCDF">
            <w:pPr>
              <w:pStyle w:val="61"/>
              <w:autoSpaceDE w:val="0"/>
              <w:autoSpaceDN w:val="0"/>
              <w:adjustRightInd w:val="0"/>
              <w:spacing w:after="0" w:line="276" w:lineRule="auto"/>
              <w:rPr>
                <w:rFonts w:ascii="Times New Roman" w:hAnsi="Times New Roman" w:cs="Times New Roman"/>
                <w:color w:val="000000"/>
              </w:rPr>
            </w:pPr>
            <w:r>
              <w:t>Riscurile incidentelor SEA/SH</w:t>
            </w:r>
          </w:p>
        </w:tc>
        <w:tc>
          <w:tcPr>
            <w:tcW w:w="4537" w:type="dxa"/>
          </w:tcPr>
          <w:p w14:paraId="19CD8D0D">
            <w:pPr>
              <w:pStyle w:val="80"/>
              <w:numPr>
                <w:ilvl w:val="0"/>
                <w:numId w:val="33"/>
              </w:numPr>
              <w:autoSpaceDE w:val="0"/>
              <w:autoSpaceDN w:val="0"/>
              <w:adjustRightInd w:val="0"/>
              <w:spacing w:after="0" w:line="276" w:lineRule="auto"/>
              <w:jc w:val="both"/>
              <w:rPr>
                <w:rFonts w:ascii="Times New Roman" w:hAnsi="Times New Roman" w:cs="Times New Roman"/>
                <w:color w:val="000000"/>
              </w:rPr>
            </w:pPr>
            <w:r>
              <w:t>Desfășurarea de cursuri de formare în domeniul prevenirii SEA/SH.</w:t>
            </w:r>
          </w:p>
          <w:p w14:paraId="73C5AB4C">
            <w:pPr>
              <w:pStyle w:val="80"/>
              <w:numPr>
                <w:ilvl w:val="0"/>
                <w:numId w:val="33"/>
              </w:numPr>
              <w:autoSpaceDE w:val="0"/>
              <w:autoSpaceDN w:val="0"/>
              <w:adjustRightInd w:val="0"/>
              <w:spacing w:after="0" w:line="276" w:lineRule="auto"/>
              <w:jc w:val="both"/>
              <w:rPr>
                <w:rFonts w:ascii="Times New Roman" w:hAnsi="Times New Roman" w:cs="Times New Roman"/>
                <w:color w:val="000000"/>
              </w:rPr>
            </w:pPr>
            <w:r>
              <w:t>Aplicarea codului de conduită.</w:t>
            </w:r>
          </w:p>
          <w:p w14:paraId="1CF7F2D2">
            <w:pPr>
              <w:pStyle w:val="80"/>
              <w:numPr>
                <w:ilvl w:val="0"/>
                <w:numId w:val="33"/>
              </w:numPr>
              <w:autoSpaceDE w:val="0"/>
              <w:autoSpaceDN w:val="0"/>
              <w:adjustRightInd w:val="0"/>
              <w:spacing w:after="0" w:line="276" w:lineRule="auto"/>
              <w:jc w:val="both"/>
              <w:rPr>
                <w:rFonts w:ascii="Times New Roman" w:hAnsi="Times New Roman" w:cs="Times New Roman"/>
                <w:color w:val="000000"/>
              </w:rPr>
            </w:pPr>
            <w:r>
              <w:t>Monitorizarea comportamentului lucrătorilor prin supravegherea amplasamentului și mecanisme de raportare.</w:t>
            </w:r>
          </w:p>
          <w:p w14:paraId="77756E15">
            <w:pPr>
              <w:autoSpaceDE w:val="0"/>
              <w:autoSpaceDN w:val="0"/>
              <w:adjustRightInd w:val="0"/>
              <w:spacing w:after="0" w:line="276" w:lineRule="auto"/>
              <w:ind w:left="360"/>
              <w:jc w:val="both"/>
              <w:rPr>
                <w:rFonts w:ascii="Times New Roman" w:hAnsi="Times New Roman" w:cs="Times New Roman"/>
                <w:color w:val="000000"/>
              </w:rPr>
            </w:pPr>
          </w:p>
        </w:tc>
        <w:tc>
          <w:tcPr>
            <w:tcW w:w="1985" w:type="dxa"/>
          </w:tcPr>
          <w:p w14:paraId="03AF92F1">
            <w:pPr>
              <w:pStyle w:val="80"/>
              <w:numPr>
                <w:ilvl w:val="0"/>
                <w:numId w:val="31"/>
              </w:numPr>
              <w:autoSpaceDE w:val="0"/>
              <w:autoSpaceDN w:val="0"/>
              <w:adjustRightInd w:val="0"/>
              <w:spacing w:after="0" w:line="276" w:lineRule="auto"/>
              <w:ind w:left="529"/>
              <w:jc w:val="both"/>
              <w:rPr>
                <w:rFonts w:ascii="Times New Roman" w:hAnsi="Times New Roman" w:cs="Times New Roman"/>
                <w:color w:val="000000"/>
              </w:rPr>
            </w:pPr>
            <w:r>
              <w:t>Contractantul</w:t>
            </w:r>
          </w:p>
          <w:p w14:paraId="1731F089">
            <w:pPr>
              <w:pStyle w:val="80"/>
              <w:numPr>
                <w:ilvl w:val="0"/>
                <w:numId w:val="31"/>
              </w:numPr>
              <w:autoSpaceDE w:val="0"/>
              <w:autoSpaceDN w:val="0"/>
              <w:adjustRightInd w:val="0"/>
              <w:spacing w:after="0" w:line="276" w:lineRule="auto"/>
              <w:ind w:left="529"/>
              <w:jc w:val="both"/>
              <w:rPr>
                <w:rFonts w:ascii="Times New Roman" w:hAnsi="Times New Roman" w:cs="Times New Roman"/>
                <w:color w:val="000000"/>
              </w:rPr>
            </w:pPr>
            <w:r>
              <w:t>MCS</w:t>
            </w:r>
          </w:p>
        </w:tc>
      </w:tr>
      <w:tr w14:paraId="20C10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7F206193">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215C0140">
            <w:pPr>
              <w:pStyle w:val="61"/>
              <w:autoSpaceDE w:val="0"/>
              <w:autoSpaceDN w:val="0"/>
              <w:adjustRightInd w:val="0"/>
              <w:spacing w:after="0" w:line="276" w:lineRule="auto"/>
              <w:rPr>
                <w:rFonts w:ascii="Times New Roman" w:hAnsi="Times New Roman" w:cs="Times New Roman"/>
                <w:color w:val="000000"/>
              </w:rPr>
            </w:pPr>
            <w:r>
              <w:t>Recrutarea lucrătorilor și afluxul de forță de muncă.</w:t>
            </w:r>
          </w:p>
          <w:p w14:paraId="184C3060">
            <w:pPr>
              <w:pStyle w:val="61"/>
              <w:autoSpaceDE w:val="0"/>
              <w:autoSpaceDN w:val="0"/>
              <w:adjustRightInd w:val="0"/>
              <w:spacing w:after="0" w:line="276" w:lineRule="auto"/>
              <w:rPr>
                <w:rFonts w:ascii="Times New Roman" w:hAnsi="Times New Roman" w:cs="Times New Roman"/>
                <w:color w:val="000000"/>
              </w:rPr>
            </w:pPr>
            <w:r>
              <w:t>Riscurile traficului de persoane (TIP), riscurile muncii forțate</w:t>
            </w:r>
          </w:p>
        </w:tc>
        <w:tc>
          <w:tcPr>
            <w:tcW w:w="4537" w:type="dxa"/>
          </w:tcPr>
          <w:p w14:paraId="6B45B6F1">
            <w:pPr>
              <w:pStyle w:val="80"/>
              <w:numPr>
                <w:ilvl w:val="0"/>
                <w:numId w:val="34"/>
              </w:numPr>
              <w:autoSpaceDE w:val="0"/>
              <w:autoSpaceDN w:val="0"/>
              <w:adjustRightInd w:val="0"/>
              <w:spacing w:after="0" w:line="276" w:lineRule="auto"/>
              <w:jc w:val="both"/>
              <w:rPr>
                <w:rFonts w:ascii="Times New Roman" w:hAnsi="Times New Roman" w:cs="Times New Roman"/>
                <w:color w:val="000000"/>
              </w:rPr>
            </w:pPr>
            <w:r>
              <w:t xml:space="preserve">Verificarea furnizorilor de forță de muncă pentru practici etice; </w:t>
            </w:r>
          </w:p>
          <w:p w14:paraId="32AE912F">
            <w:pPr>
              <w:pStyle w:val="80"/>
              <w:numPr>
                <w:ilvl w:val="0"/>
                <w:numId w:val="34"/>
              </w:numPr>
              <w:autoSpaceDE w:val="0"/>
              <w:autoSpaceDN w:val="0"/>
              <w:adjustRightInd w:val="0"/>
              <w:spacing w:after="0" w:line="276" w:lineRule="auto"/>
              <w:jc w:val="both"/>
              <w:rPr>
                <w:rFonts w:ascii="Times New Roman" w:hAnsi="Times New Roman" w:cs="Times New Roman"/>
                <w:color w:val="000000"/>
              </w:rPr>
            </w:pPr>
            <w:r>
              <w:t xml:space="preserve">punerea la dispoziția lucrătorilor a unor contracte redactate într-o limbă (sau într-o traducere egală) pe care aceștia o înțeleg; </w:t>
            </w:r>
          </w:p>
          <w:p w14:paraId="3DE8A2F9">
            <w:pPr>
              <w:pStyle w:val="80"/>
              <w:numPr>
                <w:ilvl w:val="0"/>
                <w:numId w:val="34"/>
              </w:numPr>
              <w:autoSpaceDE w:val="0"/>
              <w:autoSpaceDN w:val="0"/>
              <w:adjustRightInd w:val="0"/>
              <w:spacing w:after="0" w:line="276" w:lineRule="auto"/>
              <w:jc w:val="both"/>
              <w:rPr>
                <w:rFonts w:ascii="Times New Roman" w:hAnsi="Times New Roman" w:cs="Times New Roman"/>
                <w:color w:val="000000"/>
              </w:rPr>
            </w:pPr>
            <w:r>
              <w:t>Asigurarea liberei circulații a lucrătorilor și a accesului la mecanisme de soluționare a reclamațiilor.</w:t>
            </w:r>
          </w:p>
        </w:tc>
        <w:tc>
          <w:tcPr>
            <w:tcW w:w="1985" w:type="dxa"/>
          </w:tcPr>
          <w:p w14:paraId="347573AC">
            <w:pPr>
              <w:pStyle w:val="80"/>
              <w:numPr>
                <w:ilvl w:val="0"/>
                <w:numId w:val="31"/>
              </w:numPr>
              <w:autoSpaceDE w:val="0"/>
              <w:autoSpaceDN w:val="0"/>
              <w:adjustRightInd w:val="0"/>
              <w:spacing w:after="0" w:line="276" w:lineRule="auto"/>
              <w:ind w:left="412" w:hanging="190"/>
              <w:jc w:val="both"/>
              <w:rPr>
                <w:rFonts w:ascii="Times New Roman" w:hAnsi="Times New Roman" w:cs="Times New Roman"/>
                <w:color w:val="000000"/>
              </w:rPr>
            </w:pPr>
            <w:r>
              <w:t>Contractantul</w:t>
            </w:r>
          </w:p>
          <w:p w14:paraId="0B1C0CDF">
            <w:pPr>
              <w:pStyle w:val="80"/>
              <w:numPr>
                <w:ilvl w:val="0"/>
                <w:numId w:val="31"/>
              </w:numPr>
              <w:autoSpaceDE w:val="0"/>
              <w:autoSpaceDN w:val="0"/>
              <w:adjustRightInd w:val="0"/>
              <w:spacing w:after="0" w:line="276" w:lineRule="auto"/>
              <w:ind w:left="412" w:hanging="190"/>
              <w:jc w:val="both"/>
              <w:rPr>
                <w:rFonts w:ascii="Times New Roman" w:hAnsi="Times New Roman" w:cs="Times New Roman"/>
                <w:color w:val="000000"/>
              </w:rPr>
            </w:pPr>
            <w:r>
              <w:t>MCS</w:t>
            </w:r>
          </w:p>
        </w:tc>
      </w:tr>
      <w:tr w14:paraId="68730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6465C269">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2EE014DB">
            <w:pPr>
              <w:pStyle w:val="61"/>
              <w:autoSpaceDE w:val="0"/>
              <w:autoSpaceDN w:val="0"/>
              <w:adjustRightInd w:val="0"/>
              <w:spacing w:after="0" w:line="276" w:lineRule="auto"/>
              <w:rPr>
                <w:rFonts w:ascii="Times New Roman" w:hAnsi="Times New Roman" w:cs="Times New Roman"/>
                <w:color w:val="000000"/>
              </w:rPr>
            </w:pPr>
            <w:r>
              <w:t>Măsuri de atenuare pentru etapa operațională (post-bypass):</w:t>
            </w:r>
          </w:p>
        </w:tc>
        <w:tc>
          <w:tcPr>
            <w:tcW w:w="4537" w:type="dxa"/>
          </w:tcPr>
          <w:p w14:paraId="74808752">
            <w:pPr>
              <w:pStyle w:val="80"/>
              <w:numPr>
                <w:ilvl w:val="0"/>
                <w:numId w:val="34"/>
              </w:numPr>
              <w:autoSpaceDE w:val="0"/>
              <w:autoSpaceDN w:val="0"/>
              <w:adjustRightInd w:val="0"/>
              <w:spacing w:after="0" w:line="276" w:lineRule="auto"/>
              <w:jc w:val="both"/>
              <w:rPr>
                <w:rFonts w:ascii="Times New Roman" w:hAnsi="Times New Roman" w:cs="Times New Roman"/>
                <w:color w:val="000000"/>
              </w:rPr>
            </w:pPr>
            <w:r>
              <w:t>Obligativitatea utilizării exclusive a șoselei de centură pentru toate camioanele de tranzit care se îndreaptă spre frontieră/port/platformă prin intermediul reglementărilor naționale actualizate în materie de trafic (de exemplu, interzicerea vehiculelor grele &gt;7,5 tone pe vechiul R34 prin sat, cu excepția livrărilor locale).</w:t>
            </w:r>
          </w:p>
          <w:p w14:paraId="01D44ABB">
            <w:pPr>
              <w:pStyle w:val="80"/>
              <w:numPr>
                <w:ilvl w:val="0"/>
                <w:numId w:val="34"/>
              </w:numPr>
              <w:autoSpaceDE w:val="0"/>
              <w:autoSpaceDN w:val="0"/>
              <w:adjustRightInd w:val="0"/>
              <w:spacing w:after="0" w:line="276" w:lineRule="auto"/>
              <w:jc w:val="both"/>
              <w:rPr>
                <w:rFonts w:ascii="Times New Roman" w:hAnsi="Times New Roman" w:cs="Times New Roman"/>
                <w:color w:val="000000"/>
              </w:rPr>
            </w:pPr>
            <w:r>
              <w:t>Instalați semnalizare permanentă la intersecțiile cheie (de exemplu, „Obligatoriu de trecere pentru camioane – Se aplică amenzi”) și indicatoare electronice cu mesaje variabile (VMS) integrate cu sistemul de așteptare al platformei pentru a direcționa camioanele în mod dinamic.</w:t>
            </w:r>
          </w:p>
          <w:p w14:paraId="484397D0">
            <w:pPr>
              <w:pStyle w:val="80"/>
              <w:numPr>
                <w:ilvl w:val="0"/>
                <w:numId w:val="34"/>
              </w:numPr>
              <w:autoSpaceDE w:val="0"/>
              <w:autoSpaceDN w:val="0"/>
              <w:adjustRightInd w:val="0"/>
              <w:spacing w:after="0" w:line="276" w:lineRule="auto"/>
              <w:jc w:val="both"/>
              <w:rPr>
                <w:rFonts w:ascii="Times New Roman" w:hAnsi="Times New Roman" w:cs="Times New Roman"/>
                <w:color w:val="000000"/>
              </w:rPr>
            </w:pPr>
            <w:r>
              <w:t>Instalați o cameră de monitorizare a traficului și impuneți limite de viteză (de exemplu, 40 km/h) pe orice segmente locale permise, cu camere de monitorizare a vitezei sau verificări radar.</w:t>
            </w:r>
          </w:p>
          <w:p w14:paraId="6423E306">
            <w:pPr>
              <w:pStyle w:val="80"/>
              <w:numPr>
                <w:ilvl w:val="0"/>
                <w:numId w:val="34"/>
              </w:numPr>
              <w:autoSpaceDE w:val="0"/>
              <w:autoSpaceDN w:val="0"/>
              <w:adjustRightInd w:val="0"/>
              <w:spacing w:after="0" w:line="276" w:lineRule="auto"/>
              <w:jc w:val="both"/>
              <w:rPr>
                <w:rFonts w:ascii="Times New Roman" w:hAnsi="Times New Roman" w:cs="Times New Roman"/>
                <w:color w:val="000000"/>
              </w:rPr>
            </w:pPr>
            <w:r>
              <w:t>Promovarea actualizărilor de rutare GPS (de exemplu, prin parteneriate cu aplicații de navigație, cum ar fi Google Maps / Waze) în mod implicit la bypass pentru vehiculele grele.</w:t>
            </w:r>
          </w:p>
          <w:p w14:paraId="4FC95391">
            <w:pPr>
              <w:pStyle w:val="80"/>
              <w:numPr>
                <w:ilvl w:val="0"/>
                <w:numId w:val="34"/>
              </w:numPr>
              <w:autoSpaceDE w:val="0"/>
              <w:autoSpaceDN w:val="0"/>
              <w:adjustRightInd w:val="0"/>
              <w:spacing w:after="0" w:line="276" w:lineRule="auto"/>
              <w:jc w:val="both"/>
              <w:rPr>
                <w:rFonts w:ascii="Times New Roman" w:hAnsi="Times New Roman" w:cs="Times New Roman"/>
                <w:color w:val="000000"/>
              </w:rPr>
            </w:pPr>
            <w:r>
              <w:t>Stabilirea unui protocol comun de aplicare a legii, care să includă puncte de control aleatorii și amenzi pentru încălcări, pentru a descuraja utilizarea comenzilor rapide.</w:t>
            </w:r>
          </w:p>
          <w:p w14:paraId="658CDFD0">
            <w:pPr>
              <w:pStyle w:val="80"/>
              <w:numPr>
                <w:ilvl w:val="0"/>
                <w:numId w:val="34"/>
              </w:numPr>
              <w:autoSpaceDE w:val="0"/>
              <w:autoSpaceDN w:val="0"/>
              <w:adjustRightInd w:val="0"/>
              <w:spacing w:after="0" w:line="276" w:lineRule="auto"/>
              <w:jc w:val="both"/>
              <w:rPr>
                <w:rFonts w:ascii="Times New Roman" w:hAnsi="Times New Roman" w:cs="Times New Roman"/>
                <w:color w:val="000000"/>
              </w:rPr>
            </w:pPr>
            <w:r>
              <w:t>Continuarea implicării comunității prin intermediul Comitetului de monitorizare a impactului social (SIMC), cu reuniuni bianuale pentru revizuirea datelor privind traficul și ajustarea măsurilor pe baza feedbackului.</w:t>
            </w:r>
          </w:p>
        </w:tc>
        <w:tc>
          <w:tcPr>
            <w:tcW w:w="1985" w:type="dxa"/>
          </w:tcPr>
          <w:p w14:paraId="6B1230C7">
            <w:pPr>
              <w:pStyle w:val="39"/>
              <w:autoSpaceDE w:val="0"/>
              <w:autoSpaceDN w:val="0"/>
              <w:adjustRightInd w:val="0"/>
              <w:spacing w:after="0" w:line="276" w:lineRule="auto"/>
              <w:jc w:val="both"/>
              <w:rPr>
                <w:rFonts w:ascii="Times New Roman" w:hAnsi="Times New Roman" w:cs="Times New Roman"/>
                <w:color w:val="000000"/>
              </w:rPr>
            </w:pPr>
          </w:p>
          <w:p w14:paraId="76F54E63">
            <w:pPr>
              <w:pStyle w:val="80"/>
              <w:numPr>
                <w:ilvl w:val="0"/>
                <w:numId w:val="35"/>
              </w:numPr>
              <w:autoSpaceDE w:val="0"/>
              <w:autoSpaceDN w:val="0"/>
              <w:adjustRightInd w:val="0"/>
              <w:spacing w:after="0" w:line="276" w:lineRule="auto"/>
              <w:ind w:left="671"/>
              <w:jc w:val="both"/>
              <w:rPr>
                <w:rFonts w:ascii="Times New Roman" w:hAnsi="Times New Roman" w:cs="Times New Roman"/>
                <w:color w:val="000000"/>
              </w:rPr>
            </w:pPr>
            <w:r>
              <w:t>MCS</w:t>
            </w:r>
          </w:p>
          <w:p w14:paraId="34166C04">
            <w:pPr>
              <w:pStyle w:val="80"/>
              <w:numPr>
                <w:ilvl w:val="0"/>
                <w:numId w:val="35"/>
              </w:numPr>
              <w:autoSpaceDE w:val="0"/>
              <w:autoSpaceDN w:val="0"/>
              <w:adjustRightInd w:val="0"/>
              <w:spacing w:after="0" w:line="276" w:lineRule="auto"/>
              <w:ind w:left="671"/>
              <w:jc w:val="both"/>
              <w:rPr>
                <w:rFonts w:ascii="Times New Roman" w:hAnsi="Times New Roman" w:cs="Times New Roman"/>
                <w:color w:val="000000"/>
              </w:rPr>
            </w:pPr>
            <w:r>
              <w:t>Poliția rutieră</w:t>
            </w:r>
          </w:p>
        </w:tc>
      </w:tr>
      <w:bookmarkEnd w:id="16"/>
      <w:bookmarkEnd w:id="17"/>
    </w:tbl>
    <w:p w14:paraId="006E8A54">
      <w:pPr>
        <w:autoSpaceDE w:val="0"/>
        <w:autoSpaceDN w:val="0"/>
        <w:adjustRightInd w:val="0"/>
        <w:spacing w:after="0" w:line="276" w:lineRule="auto"/>
        <w:jc w:val="both"/>
        <w:rPr>
          <w:rFonts w:ascii="Times New Roman" w:hAnsi="Times New Roman" w:cs="Times New Roman"/>
          <w:b/>
          <w:bCs/>
          <w:color w:val="000000"/>
        </w:rPr>
      </w:pPr>
    </w:p>
    <w:p w14:paraId="271C996A">
      <w:pPr>
        <w:pStyle w:val="84"/>
        <w:autoSpaceDE w:val="0"/>
        <w:autoSpaceDN w:val="0"/>
        <w:adjustRightInd w:val="0"/>
        <w:spacing w:after="0" w:line="276" w:lineRule="auto"/>
        <w:jc w:val="both"/>
        <w:rPr>
          <w:rFonts w:ascii="Times New Roman" w:hAnsi="Times New Roman" w:cs="Times New Roman"/>
          <w:color w:val="000000"/>
        </w:rPr>
      </w:pPr>
      <w:r>
        <w:t>Planul de monitorizare</w:t>
      </w:r>
    </w:p>
    <w:p w14:paraId="650F5E32">
      <w:pPr>
        <w:pStyle w:val="59"/>
        <w:autoSpaceDE w:val="0"/>
        <w:autoSpaceDN w:val="0"/>
        <w:adjustRightInd w:val="0"/>
        <w:spacing w:line="276" w:lineRule="auto"/>
        <w:jc w:val="both"/>
        <w:rPr>
          <w:rFonts w:ascii="Times New Roman" w:hAnsi="Times New Roman" w:cs="Times New Roman"/>
        </w:rPr>
      </w:pPr>
      <w:r>
        <w:t xml:space="preserve">Aspectele sociale și de mediu incluse în măsurile de atenuare sunt monitorizate și supravegheate de inginerul supraveghetor, de contractanți și de UIP. Deși se preconizează că impactul social și de mediu va fi scăzut până la moderat, se preconizează că potențialele efecte negative de mediu și sociale vor fi prevenite sau atenuate în cursul etapelor de construcție și de exploatare. Sistemele de monitorizare socială și de mediu încep din faza de pregătire a subproiectului și trec prin faza de exploatare pentru a preveni impactul negativ al proiectului și pentru a observa eficacitatea măsurilor de atenuare. Acest sistem ajută UIP, </w:t>
      </w:r>
      <w:r>
        <w:rPr>
          <w:rFonts w:hint="default"/>
          <w:lang w:val="ro-RO"/>
        </w:rPr>
        <w:t>MCS</w:t>
      </w:r>
      <w:r>
        <w:t xml:space="preserve"> și BM să evalueze succesul atenuării ca parte a supravegherii proiectului și permite luarea unei măsuri atunci când este necesar. Sistemul de monitorizare oferă asistență tehnică și supraveghere atunci când este necesar, detectarea timpurie a condițiilor legate de măsurile de atenuare, urmărește rezultatele atenuării și furnizează informații cu privire la progresele înregistrate de proiect.</w:t>
      </w:r>
    </w:p>
    <w:p w14:paraId="5A6C9C9E">
      <w:pPr>
        <w:autoSpaceDE w:val="0"/>
        <w:autoSpaceDN w:val="0"/>
        <w:adjustRightInd w:val="0"/>
        <w:spacing w:line="276" w:lineRule="auto"/>
        <w:jc w:val="both"/>
        <w:rPr>
          <w:rFonts w:ascii="Times New Roman" w:hAnsi="Times New Roman" w:cs="Times New Roman"/>
        </w:rPr>
      </w:pPr>
    </w:p>
    <w:p w14:paraId="103F41C6">
      <w:pPr>
        <w:pStyle w:val="59"/>
        <w:autoSpaceDE w:val="0"/>
        <w:autoSpaceDN w:val="0"/>
        <w:adjustRightInd w:val="0"/>
        <w:spacing w:line="276" w:lineRule="auto"/>
        <w:jc w:val="both"/>
        <w:rPr>
          <w:rFonts w:ascii="Times New Roman" w:hAnsi="Times New Roman" w:cs="Times New Roman"/>
          <w:b/>
          <w:i/>
        </w:rPr>
      </w:pPr>
      <w:r>
        <w:t>Pentru a se asigura că planul de atenuare este pus în aplicare în mod eficient, lista de verificare ESMP conține un plan de monitorizare (prezentat mai jos) care prevede: (a) detalii privind măsurile de monitorizare, inclusiv parametrii care trebuie măsurați, metodele care trebuie utilizate, frecvența măsurătorilor; și (b) proceduri de monitorizare și raportare pentru (i) a asigura detectarea timpurie a condițiilor care necesită măsuri speciale de atenuare și (ii) a furniza informații cu privire la progresele și rezultatele atenuării.</w:t>
      </w:r>
    </w:p>
    <w:p w14:paraId="65CAFB6E">
      <w:pPr>
        <w:pStyle w:val="65"/>
        <w:spacing w:line="276" w:lineRule="auto"/>
        <w:jc w:val="both"/>
        <w:rPr>
          <w:rFonts w:ascii="Times New Roman" w:hAnsi="Times New Roman" w:eastAsia="Times New Roman" w:cs="Times New Roman"/>
          <w:b/>
          <w:i/>
          <w:u w:val="single"/>
        </w:rPr>
      </w:pPr>
      <w:r>
        <w:rPr>
          <w:b/>
        </w:rPr>
        <w:t>Monitorizarea impactului</w:t>
      </w:r>
      <w:r>
        <w:t xml:space="preserve"> include calitatea apei și a aerului, zgomotul etc. specific fazei de construcție este responsabilitatea contractantului, iar monitorizarea operațională este responsabilitatea UIP MCS. Costurile aferente activităților de monitorizare în faza de construcție a subproiectului sunt incluse în costurile contractantului pentru lucrările civile propuse.</w:t>
      </w:r>
    </w:p>
    <w:p w14:paraId="1CEE3887">
      <w:pPr>
        <w:pStyle w:val="65"/>
        <w:spacing w:line="276" w:lineRule="auto"/>
        <w:jc w:val="both"/>
        <w:rPr>
          <w:rFonts w:ascii="Times New Roman" w:hAnsi="Times New Roman" w:eastAsia="Times New Roman" w:cs="Times New Roman"/>
        </w:rPr>
      </w:pPr>
      <w:r>
        <w:rPr>
          <w:b/>
        </w:rPr>
        <w:t>Monitorizarea conformității</w:t>
      </w:r>
      <w:r>
        <w:t>. În plus față de activitățile de supraveghere și monitorizare care urmează să fie efectuate de contractant și de UIP MCS, măsurile propuse pentru monitorizarea conformității pentru etapele de construcție și exploatare trebuie să fie efectuate, de asemenea, de către organismele de stat autorizate: (a) Agenția de Mediu care răspunde de aspectele legate de autorizațiile de mediu și de alte documente juridice; (b) Inspectoratul de Stat în Construcții, care este responsabil de supravegherea generală a lucrărilor de construcții; și (c) autoritățile municipale de mediu, responsabile cu supravegherea mediului și cu activitățile de monitorizare. Inspecțiile pe șantierele de construcții se numără printre sarcinile personalului acestor autorități și sunt acoperite din bugetele proprii.</w:t>
      </w:r>
    </w:p>
    <w:p w14:paraId="473B1C35">
      <w:pPr>
        <w:autoSpaceDE w:val="0"/>
        <w:autoSpaceDN w:val="0"/>
        <w:adjustRightInd w:val="0"/>
        <w:spacing w:after="0" w:line="276" w:lineRule="auto"/>
        <w:jc w:val="both"/>
        <w:rPr>
          <w:rFonts w:ascii="Times New Roman" w:hAnsi="Times New Roman" w:cs="Times New Roman"/>
          <w:color w:val="000000"/>
        </w:rPr>
      </w:pPr>
    </w:p>
    <w:p w14:paraId="7CC97134">
      <w:pPr>
        <w:pStyle w:val="68"/>
        <w:autoSpaceDE w:val="0"/>
        <w:autoSpaceDN w:val="0"/>
        <w:adjustRightInd w:val="0"/>
        <w:spacing w:after="0" w:line="276" w:lineRule="auto"/>
        <w:jc w:val="both"/>
        <w:rPr>
          <w:rFonts w:ascii="Times New Roman" w:hAnsi="Times New Roman" w:cs="Times New Roman"/>
          <w:b/>
          <w:bCs/>
          <w:color w:val="000000"/>
        </w:rPr>
      </w:pPr>
      <w:r>
        <w:t>Indicatori de monitorizare</w:t>
      </w:r>
    </w:p>
    <w:p w14:paraId="5708DA7D">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Calitatea aerului: Eficacitatea controlului prafului și al emisiilor</w:t>
      </w:r>
    </w:p>
    <w:p w14:paraId="1DF6E8AA">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Monitorizarea lunară a volumului de trafic pe drumurile din sat (de exemplu, prin contoare sau camere de trafic) pentru a detecta utilizarea neautorizată a camioanelor.</w:t>
      </w:r>
    </w:p>
    <w:p w14:paraId="28B7E5EA">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Semnalizare permanentă la intersecții cheie (de exemplu, „Obligatoriu de trecere pentru camioane – Se aplică amenzi”) și indicatoare electronice cu mesaje variabile (VMS) integrate cu sistemul de așteptare al platformei pentru a direcționa camioanele.</w:t>
      </w:r>
    </w:p>
    <w:p w14:paraId="09B2DE55">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Niveluri de zgomot: Respectarea pragurilor de zgomot permise</w:t>
      </w:r>
    </w:p>
    <w:p w14:paraId="2E080C17">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Evacuări de apă: Testarea periodică a calității efluenților</w:t>
      </w:r>
    </w:p>
    <w:p w14:paraId="6F0019E3">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Impactul asupra traficului: Eficacitatea măsurilor de atenuare</w:t>
      </w:r>
    </w:p>
    <w:p w14:paraId="05C4A474">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rPr>
          <w:rFonts w:hint="default"/>
          <w:lang w:val="ro-RO"/>
        </w:rPr>
        <w:t>N</w:t>
      </w:r>
      <w:r>
        <w:t>umărul de încălcări ale normelor privind camioanele sancționate; reducerea procentuală a traficului de camioane din sate după ocolire (obiectiv: &gt;80%); punctajele primite de la rezidenți cu privire la impactul asupra traficului.</w:t>
      </w:r>
    </w:p>
    <w:p w14:paraId="63E59E4D">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Eliminarea deșeurilor: Colectarea și urmărirea corespunzătoare a fluxurilor de deșeuri</w:t>
      </w:r>
    </w:p>
    <w:p w14:paraId="7AF6D798">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 xml:space="preserve">Conformitatea cu normele de siguranță a lucrătorilor: Inspecții periodice ale </w:t>
      </w:r>
      <w:r>
        <w:rPr>
          <w:rFonts w:hint="default"/>
          <w:lang w:val="ro-RO"/>
        </w:rPr>
        <w:t>PPE</w:t>
      </w:r>
      <w:r>
        <w:t xml:space="preserve"> și controale de siguranță la fața locului</w:t>
      </w:r>
    </w:p>
    <w:p w14:paraId="6D7D43C5">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Securitatea socială și impactul: numărul și tipul plângerilor primite și soluționate;</w:t>
      </w:r>
    </w:p>
    <w:p w14:paraId="760F64C6">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rPr>
          <w:rFonts w:hint="default"/>
          <w:lang w:val="ro-RO"/>
        </w:rPr>
        <w:t xml:space="preserve"> N</w:t>
      </w:r>
      <w:r>
        <w:t xml:space="preserve">umărul de reuniuni/cursuri de formare privind riscurile de atenuare socială (CoC, SEA/SH, TiP etc.); </w:t>
      </w:r>
    </w:p>
    <w:p w14:paraId="4E53DE6C">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Feedback din partea comunității cu privire la implicare</w:t>
      </w:r>
      <w:r>
        <w:rPr>
          <w:rFonts w:hint="default"/>
          <w:lang w:val="ro-RO"/>
        </w:rPr>
        <w:t>;</w:t>
      </w:r>
    </w:p>
    <w:p w14:paraId="6AB9EA70">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Gestionarea apelor pluviale: Eficiența sistemelor de drenaj</w:t>
      </w:r>
    </w:p>
    <w:p w14:paraId="7963AD37">
      <w:pPr>
        <w:pStyle w:val="61"/>
        <w:numPr>
          <w:ilvl w:val="0"/>
          <w:numId w:val="36"/>
        </w:numPr>
        <w:autoSpaceDE w:val="0"/>
        <w:autoSpaceDN w:val="0"/>
        <w:adjustRightInd w:val="0"/>
        <w:spacing w:after="0" w:line="276" w:lineRule="auto"/>
        <w:jc w:val="both"/>
        <w:rPr>
          <w:rFonts w:ascii="Times New Roman" w:hAnsi="Times New Roman" w:cs="Times New Roman"/>
          <w:color w:val="000000"/>
        </w:rPr>
      </w:pPr>
      <w:r>
        <w:t>Protecția biodiversității: Monitorizarea perturbărilor habitatelor</w:t>
      </w:r>
    </w:p>
    <w:p w14:paraId="7FF911B6">
      <w:pPr>
        <w:pStyle w:val="61"/>
        <w:autoSpaceDE w:val="0"/>
        <w:autoSpaceDN w:val="0"/>
        <w:adjustRightInd w:val="0"/>
        <w:spacing w:after="0" w:line="276" w:lineRule="auto"/>
        <w:jc w:val="both"/>
        <w:rPr>
          <w:rFonts w:ascii="Times New Roman" w:hAnsi="Times New Roman" w:cs="Times New Roman"/>
          <w:color w:val="000000"/>
        </w:rPr>
      </w:pPr>
      <w:r>
        <w:t>Responsabilitatea punerii în aplicare</w:t>
      </w:r>
    </w:p>
    <w:p w14:paraId="11296157">
      <w:pPr>
        <w:pStyle w:val="61"/>
        <w:numPr>
          <w:ilvl w:val="0"/>
          <w:numId w:val="37"/>
        </w:numPr>
        <w:autoSpaceDE w:val="0"/>
        <w:autoSpaceDN w:val="0"/>
        <w:adjustRightInd w:val="0"/>
        <w:spacing w:after="0" w:line="276" w:lineRule="auto"/>
        <w:jc w:val="both"/>
        <w:rPr>
          <w:rFonts w:ascii="Times New Roman" w:hAnsi="Times New Roman" w:cs="Times New Roman"/>
          <w:color w:val="000000"/>
        </w:rPr>
      </w:pPr>
      <w:r>
        <w:t>Contractantul: Executarea tuturor măsurilor de atenuare</w:t>
      </w:r>
    </w:p>
    <w:p w14:paraId="7B880192">
      <w:pPr>
        <w:pStyle w:val="61"/>
        <w:numPr>
          <w:ilvl w:val="0"/>
          <w:numId w:val="37"/>
        </w:numPr>
        <w:autoSpaceDE w:val="0"/>
        <w:autoSpaceDN w:val="0"/>
        <w:adjustRightInd w:val="0"/>
        <w:spacing w:after="0" w:line="276" w:lineRule="auto"/>
        <w:jc w:val="both"/>
        <w:rPr>
          <w:rFonts w:ascii="Times New Roman" w:hAnsi="Times New Roman" w:cs="Times New Roman"/>
          <w:color w:val="000000"/>
        </w:rPr>
      </w:pPr>
      <w:r>
        <w:t>Inginer de supraveghere: Inspecții periodice la fața locului și verificări ale conformității</w:t>
      </w:r>
    </w:p>
    <w:p w14:paraId="2BB13C5F">
      <w:pPr>
        <w:pStyle w:val="61"/>
        <w:numPr>
          <w:ilvl w:val="0"/>
          <w:numId w:val="37"/>
        </w:numPr>
        <w:autoSpaceDE w:val="0"/>
        <w:autoSpaceDN w:val="0"/>
        <w:adjustRightInd w:val="0"/>
        <w:spacing w:after="0" w:line="276" w:lineRule="auto"/>
        <w:jc w:val="both"/>
        <w:rPr>
          <w:rFonts w:ascii="Times New Roman" w:hAnsi="Times New Roman" w:cs="Times New Roman"/>
          <w:color w:val="000000"/>
        </w:rPr>
      </w:pPr>
      <w:r>
        <w:t>Autoritățile locale de mediu: Monitorizarea calității apei și a aerului</w:t>
      </w:r>
    </w:p>
    <w:p w14:paraId="4965C594">
      <w:pPr>
        <w:pStyle w:val="61"/>
        <w:autoSpaceDE w:val="0"/>
        <w:autoSpaceDN w:val="0"/>
        <w:adjustRightInd w:val="0"/>
        <w:spacing w:after="0" w:line="276" w:lineRule="auto"/>
        <w:jc w:val="both"/>
        <w:rPr>
          <w:rFonts w:ascii="Times New Roman" w:hAnsi="Times New Roman" w:cs="Times New Roman"/>
          <w:color w:val="000000"/>
        </w:rPr>
      </w:pPr>
      <w:r>
        <w:t>Calendarul de raportare</w:t>
      </w:r>
    </w:p>
    <w:p w14:paraId="60599A07">
      <w:pPr>
        <w:pStyle w:val="61"/>
        <w:numPr>
          <w:ilvl w:val="0"/>
          <w:numId w:val="38"/>
        </w:numPr>
        <w:autoSpaceDE w:val="0"/>
        <w:autoSpaceDN w:val="0"/>
        <w:adjustRightInd w:val="0"/>
        <w:spacing w:after="0" w:line="276" w:lineRule="auto"/>
        <w:jc w:val="both"/>
        <w:rPr>
          <w:rFonts w:ascii="Times New Roman" w:hAnsi="Times New Roman" w:cs="Times New Roman"/>
          <w:color w:val="000000"/>
        </w:rPr>
      </w:pPr>
      <w:r>
        <w:t>Rapoarte lunare: Transmis de contractant către SGC</w:t>
      </w:r>
    </w:p>
    <w:p w14:paraId="6876E185">
      <w:pPr>
        <w:pStyle w:val="61"/>
        <w:numPr>
          <w:ilvl w:val="0"/>
          <w:numId w:val="38"/>
        </w:numPr>
        <w:autoSpaceDE w:val="0"/>
        <w:autoSpaceDN w:val="0"/>
        <w:adjustRightInd w:val="0"/>
        <w:spacing w:after="0" w:line="276" w:lineRule="auto"/>
        <w:jc w:val="both"/>
        <w:rPr>
          <w:rFonts w:ascii="Times New Roman" w:hAnsi="Times New Roman" w:cs="Times New Roman"/>
          <w:color w:val="000000"/>
        </w:rPr>
      </w:pPr>
      <w:r>
        <w:t>Inspecții trimestriale: Condusă de Inspectoratul de Mediu</w:t>
      </w:r>
    </w:p>
    <w:p w14:paraId="33B6A97F">
      <w:pPr>
        <w:pStyle w:val="61"/>
        <w:numPr>
          <w:ilvl w:val="0"/>
          <w:numId w:val="38"/>
        </w:numPr>
        <w:autoSpaceDE w:val="0"/>
        <w:autoSpaceDN w:val="0"/>
        <w:adjustRightInd w:val="0"/>
        <w:spacing w:after="0" w:line="276" w:lineRule="auto"/>
        <w:jc w:val="both"/>
        <w:rPr>
          <w:rFonts w:ascii="Times New Roman" w:hAnsi="Times New Roman" w:cs="Times New Roman"/>
          <w:color w:val="000000"/>
        </w:rPr>
      </w:pPr>
      <w:r>
        <w:t>Evaluarea anuală: Realizat de echipa de proiect a Băncii Mondiale</w:t>
      </w:r>
    </w:p>
    <w:bookmarkEnd w:id="15"/>
    <w:p w14:paraId="5FDAE089">
      <w:pPr>
        <w:autoSpaceDE w:val="0"/>
        <w:autoSpaceDN w:val="0"/>
        <w:adjustRightInd w:val="0"/>
        <w:spacing w:after="0" w:line="276" w:lineRule="auto"/>
        <w:jc w:val="center"/>
        <w:sectPr>
          <w:footerReference r:id="rId7" w:type="first"/>
          <w:footerReference r:id="rId5" w:type="default"/>
          <w:footerReference r:id="rId6" w:type="even"/>
          <w:pgSz w:w="12240" w:h="15840"/>
          <w:pgMar w:top="1440" w:right="1440" w:bottom="1440" w:left="1440" w:header="720" w:footer="720" w:gutter="0"/>
          <w:cols w:space="720" w:num="1"/>
          <w:docGrid w:linePitch="360" w:charSpace="0"/>
        </w:sectPr>
      </w:pPr>
      <w:bookmarkStart w:id="18" w:name="_Hlk197897448"/>
    </w:p>
    <w:p w14:paraId="1B071719">
      <w:pPr>
        <w:autoSpaceDE w:val="0"/>
        <w:autoSpaceDN w:val="0"/>
        <w:adjustRightInd w:val="0"/>
        <w:spacing w:after="0" w:line="276" w:lineRule="auto"/>
        <w:jc w:val="center"/>
        <w:rPr>
          <w:rFonts w:ascii="Times New Roman" w:hAnsi="Times New Roman" w:cs="Times New Roman"/>
          <w:color w:val="000000"/>
        </w:rPr>
      </w:pPr>
      <w:r>
        <w:t>TABEL DE MONITORIZARE</w:t>
      </w:r>
    </w:p>
    <w:p w14:paraId="4E5EB90A">
      <w:pPr>
        <w:autoSpaceDE w:val="0"/>
        <w:autoSpaceDN w:val="0"/>
        <w:adjustRightInd w:val="0"/>
        <w:spacing w:after="0" w:line="276" w:lineRule="auto"/>
        <w:jc w:val="both"/>
        <w:rPr>
          <w:rFonts w:ascii="Times New Roman" w:hAnsi="Times New Roman" w:cs="Times New Roman"/>
          <w:color w:val="000000"/>
        </w:rPr>
      </w:pPr>
    </w:p>
    <w:p w14:paraId="78316F78">
      <w:pPr>
        <w:autoSpaceDE w:val="0"/>
        <w:autoSpaceDN w:val="0"/>
        <w:adjustRightInd w:val="0"/>
        <w:spacing w:after="0" w:line="276" w:lineRule="auto"/>
        <w:jc w:val="both"/>
        <w:rPr>
          <w:rFonts w:ascii="Times New Roman" w:hAnsi="Times New Roman" w:cs="Times New Roman"/>
          <w:color w:val="000000"/>
        </w:rPr>
      </w:pPr>
    </w:p>
    <w:p w14:paraId="485CDED4">
      <w:pPr>
        <w:autoSpaceDE w:val="0"/>
        <w:autoSpaceDN w:val="0"/>
        <w:adjustRightInd w:val="0"/>
        <w:spacing w:after="0" w:line="276" w:lineRule="auto"/>
        <w:jc w:val="both"/>
        <w:rPr>
          <w:rFonts w:ascii="Times New Roman" w:hAnsi="Times New Roman" w:cs="Times New Roman"/>
          <w:color w:val="000000"/>
        </w:rPr>
      </w:pP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2086"/>
        <w:gridCol w:w="1380"/>
        <w:gridCol w:w="1545"/>
        <w:gridCol w:w="1590"/>
        <w:gridCol w:w="1665"/>
        <w:gridCol w:w="1710"/>
        <w:gridCol w:w="1690"/>
      </w:tblGrid>
      <w:tr w14:paraId="75157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pct"/>
          </w:tcPr>
          <w:p w14:paraId="304520AF">
            <w:pPr>
              <w:pStyle w:val="85"/>
              <w:spacing w:after="0" w:line="240" w:lineRule="auto"/>
              <w:jc w:val="center"/>
              <w:rPr>
                <w:rFonts w:ascii="Times New Roman" w:hAnsi="Times New Roman" w:cs="Times New Roman"/>
                <w:b/>
                <w:bCs/>
                <w:sz w:val="20"/>
                <w:szCs w:val="20"/>
              </w:rPr>
            </w:pPr>
            <w:r>
              <w:t>Faza</w:t>
            </w:r>
          </w:p>
        </w:tc>
        <w:tc>
          <w:tcPr>
            <w:tcW w:w="791" w:type="pct"/>
          </w:tcPr>
          <w:p w14:paraId="6703A433">
            <w:pPr>
              <w:pStyle w:val="85"/>
              <w:spacing w:after="0" w:line="240" w:lineRule="auto"/>
              <w:jc w:val="center"/>
              <w:rPr>
                <w:rFonts w:ascii="Times New Roman" w:hAnsi="Times New Roman" w:cs="Times New Roman"/>
                <w:b/>
                <w:bCs/>
                <w:sz w:val="20"/>
                <w:szCs w:val="20"/>
              </w:rPr>
            </w:pPr>
            <w:r>
              <w:t>Ce anume</w:t>
            </w:r>
          </w:p>
        </w:tc>
        <w:tc>
          <w:tcPr>
            <w:tcW w:w="523" w:type="pct"/>
          </w:tcPr>
          <w:p w14:paraId="11BF3570">
            <w:pPr>
              <w:pStyle w:val="85"/>
              <w:spacing w:after="0" w:line="240" w:lineRule="auto"/>
              <w:jc w:val="center"/>
              <w:rPr>
                <w:rFonts w:ascii="Times New Roman" w:hAnsi="Times New Roman" w:cs="Times New Roman"/>
                <w:b/>
                <w:bCs/>
                <w:sz w:val="20"/>
                <w:szCs w:val="20"/>
              </w:rPr>
            </w:pPr>
            <w:r>
              <w:t>În cazul în care</w:t>
            </w:r>
          </w:p>
        </w:tc>
        <w:tc>
          <w:tcPr>
            <w:tcW w:w="586" w:type="pct"/>
          </w:tcPr>
          <w:p w14:paraId="6F71B54B">
            <w:pPr>
              <w:pStyle w:val="85"/>
              <w:spacing w:after="0" w:line="240" w:lineRule="auto"/>
              <w:jc w:val="center"/>
              <w:rPr>
                <w:rFonts w:ascii="Times New Roman" w:hAnsi="Times New Roman" w:cs="Times New Roman"/>
                <w:b/>
                <w:bCs/>
                <w:sz w:val="20"/>
                <w:szCs w:val="20"/>
              </w:rPr>
            </w:pPr>
            <w:r>
              <w:t>În ce mod</w:t>
            </w:r>
          </w:p>
        </w:tc>
        <w:tc>
          <w:tcPr>
            <w:tcW w:w="603" w:type="pct"/>
          </w:tcPr>
          <w:p w14:paraId="7844F381">
            <w:pPr>
              <w:pStyle w:val="85"/>
              <w:spacing w:after="0" w:line="240" w:lineRule="auto"/>
              <w:jc w:val="center"/>
              <w:rPr>
                <w:rFonts w:ascii="Times New Roman" w:hAnsi="Times New Roman" w:cs="Times New Roman"/>
                <w:b/>
                <w:bCs/>
                <w:sz w:val="20"/>
                <w:szCs w:val="20"/>
              </w:rPr>
            </w:pPr>
            <w:r>
              <w:t>Când</w:t>
            </w:r>
          </w:p>
        </w:tc>
        <w:tc>
          <w:tcPr>
            <w:tcW w:w="631" w:type="pct"/>
          </w:tcPr>
          <w:p w14:paraId="083EA669">
            <w:pPr>
              <w:pStyle w:val="85"/>
              <w:spacing w:after="0" w:line="240" w:lineRule="auto"/>
              <w:jc w:val="center"/>
              <w:rPr>
                <w:rFonts w:ascii="Times New Roman" w:hAnsi="Times New Roman" w:cs="Times New Roman"/>
                <w:b/>
                <w:bCs/>
                <w:sz w:val="20"/>
                <w:szCs w:val="20"/>
              </w:rPr>
            </w:pPr>
            <w:r>
              <w:t>De ce</w:t>
            </w:r>
          </w:p>
        </w:tc>
        <w:tc>
          <w:tcPr>
            <w:tcW w:w="648" w:type="pct"/>
          </w:tcPr>
          <w:p w14:paraId="6682B813">
            <w:pPr>
              <w:pStyle w:val="85"/>
              <w:spacing w:after="0" w:line="240" w:lineRule="auto"/>
              <w:jc w:val="center"/>
              <w:rPr>
                <w:rFonts w:ascii="Times New Roman" w:hAnsi="Times New Roman" w:cs="Times New Roman"/>
                <w:b/>
                <w:bCs/>
                <w:sz w:val="20"/>
                <w:szCs w:val="20"/>
              </w:rPr>
            </w:pPr>
            <w:r>
              <w:t>Costul</w:t>
            </w:r>
          </w:p>
        </w:tc>
        <w:tc>
          <w:tcPr>
            <w:tcW w:w="641" w:type="pct"/>
          </w:tcPr>
          <w:p w14:paraId="3FDC9801">
            <w:pPr>
              <w:pStyle w:val="85"/>
              <w:spacing w:after="0" w:line="240" w:lineRule="auto"/>
              <w:jc w:val="center"/>
              <w:rPr>
                <w:rFonts w:ascii="Times New Roman" w:hAnsi="Times New Roman" w:cs="Times New Roman"/>
                <w:b/>
                <w:bCs/>
                <w:sz w:val="20"/>
                <w:szCs w:val="20"/>
              </w:rPr>
            </w:pPr>
            <w:r>
              <w:t>Cine</w:t>
            </w:r>
          </w:p>
        </w:tc>
      </w:tr>
      <w:tr w14:paraId="331B1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pct"/>
          </w:tcPr>
          <w:p w14:paraId="44DCF8B3">
            <w:pPr>
              <w:pStyle w:val="82"/>
              <w:spacing w:after="0" w:line="240" w:lineRule="auto"/>
              <w:rPr>
                <w:rFonts w:ascii="Times New Roman" w:hAnsi="Times New Roman" w:cs="Times New Roman"/>
                <w:sz w:val="20"/>
                <w:szCs w:val="20"/>
              </w:rPr>
            </w:pPr>
            <w:r>
              <w:t>Preconstrucție</w:t>
            </w:r>
          </w:p>
        </w:tc>
        <w:tc>
          <w:tcPr>
            <w:tcW w:w="791" w:type="pct"/>
          </w:tcPr>
          <w:p w14:paraId="6C3DD533">
            <w:pPr>
              <w:pStyle w:val="82"/>
              <w:spacing w:after="0" w:line="240" w:lineRule="auto"/>
              <w:rPr>
                <w:rFonts w:ascii="Times New Roman" w:hAnsi="Times New Roman" w:cs="Times New Roman"/>
                <w:sz w:val="20"/>
                <w:szCs w:val="20"/>
              </w:rPr>
            </w:pPr>
            <w:r>
              <w:t>Planificarea accesului la amplasament, gestionarea traficului, disponibilitatea instalațiilor de eliminare a deșeurilor, instalarea panourilor</w:t>
            </w:r>
          </w:p>
        </w:tc>
        <w:tc>
          <w:tcPr>
            <w:tcW w:w="523" w:type="pct"/>
          </w:tcPr>
          <w:p w14:paraId="1B28EE21">
            <w:pPr>
              <w:pStyle w:val="82"/>
              <w:spacing w:after="0" w:line="240" w:lineRule="auto"/>
              <w:rPr>
                <w:rFonts w:ascii="Times New Roman" w:hAnsi="Times New Roman" w:cs="Times New Roman"/>
                <w:sz w:val="20"/>
                <w:szCs w:val="20"/>
              </w:rPr>
            </w:pPr>
            <w:r>
              <w:t>La și în jurul site-ului proiectului</w:t>
            </w:r>
          </w:p>
        </w:tc>
        <w:tc>
          <w:tcPr>
            <w:tcW w:w="586" w:type="pct"/>
          </w:tcPr>
          <w:p w14:paraId="0C443159">
            <w:pPr>
              <w:pStyle w:val="82"/>
              <w:spacing w:after="0" w:line="240" w:lineRule="auto"/>
              <w:rPr>
                <w:rFonts w:ascii="Times New Roman" w:hAnsi="Times New Roman" w:cs="Times New Roman"/>
                <w:sz w:val="20"/>
                <w:szCs w:val="20"/>
              </w:rPr>
            </w:pPr>
            <w:r>
              <w:t>Revizuirea planurilor de proiect, inspecția pe teren, verificarea documentelor</w:t>
            </w:r>
          </w:p>
        </w:tc>
        <w:tc>
          <w:tcPr>
            <w:tcW w:w="603" w:type="pct"/>
          </w:tcPr>
          <w:p w14:paraId="2F25D024">
            <w:pPr>
              <w:pStyle w:val="82"/>
              <w:spacing w:after="0" w:line="240" w:lineRule="auto"/>
              <w:rPr>
                <w:rFonts w:ascii="Times New Roman" w:hAnsi="Times New Roman" w:cs="Times New Roman"/>
                <w:sz w:val="20"/>
                <w:szCs w:val="20"/>
              </w:rPr>
            </w:pPr>
            <w:r>
              <w:t>O dată înainte de începerea construcției</w:t>
            </w:r>
          </w:p>
        </w:tc>
        <w:tc>
          <w:tcPr>
            <w:tcW w:w="631" w:type="pct"/>
          </w:tcPr>
          <w:p w14:paraId="58AEC061">
            <w:pPr>
              <w:pStyle w:val="82"/>
              <w:spacing w:after="0" w:line="240" w:lineRule="auto"/>
              <w:rPr>
                <w:rFonts w:ascii="Times New Roman" w:hAnsi="Times New Roman" w:cs="Times New Roman"/>
                <w:sz w:val="20"/>
                <w:szCs w:val="20"/>
              </w:rPr>
            </w:pPr>
            <w:r>
              <w:t>Asigurarea conformității juridice, a accesului în condiții de siguranță și a pregătirii pentru construcție</w:t>
            </w:r>
          </w:p>
        </w:tc>
        <w:tc>
          <w:tcPr>
            <w:tcW w:w="648" w:type="pct"/>
          </w:tcPr>
          <w:p w14:paraId="43173822">
            <w:pPr>
              <w:pStyle w:val="82"/>
              <w:spacing w:after="0" w:line="240" w:lineRule="auto"/>
              <w:rPr>
                <w:rFonts w:ascii="Times New Roman" w:hAnsi="Times New Roman" w:cs="Times New Roman"/>
                <w:sz w:val="20"/>
                <w:szCs w:val="20"/>
              </w:rPr>
            </w:pPr>
            <w:r>
              <w:t>Marginal, în cadrul bugetului proiectului</w:t>
            </w:r>
          </w:p>
        </w:tc>
        <w:tc>
          <w:tcPr>
            <w:tcW w:w="641" w:type="pct"/>
          </w:tcPr>
          <w:p w14:paraId="6CD14398">
            <w:pPr>
              <w:pStyle w:val="82"/>
              <w:spacing w:after="0" w:line="240" w:lineRule="auto"/>
              <w:rPr>
                <w:rFonts w:ascii="Times New Roman" w:hAnsi="Times New Roman" w:cs="Times New Roman"/>
                <w:sz w:val="20"/>
                <w:szCs w:val="20"/>
              </w:rPr>
            </w:pPr>
            <w:r>
              <w:t>Contractant, inginer, UIP, APL</w:t>
            </w:r>
          </w:p>
        </w:tc>
      </w:tr>
      <w:tr w14:paraId="73126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pct"/>
          </w:tcPr>
          <w:p w14:paraId="3148941F">
            <w:pPr>
              <w:pStyle w:val="82"/>
              <w:spacing w:after="0" w:line="240" w:lineRule="auto"/>
              <w:rPr>
                <w:rFonts w:ascii="Times New Roman" w:hAnsi="Times New Roman" w:cs="Times New Roman"/>
                <w:sz w:val="20"/>
                <w:szCs w:val="20"/>
              </w:rPr>
            </w:pPr>
            <w:r>
              <w:t>Construcții</w:t>
            </w:r>
          </w:p>
        </w:tc>
        <w:tc>
          <w:tcPr>
            <w:tcW w:w="791" w:type="pct"/>
          </w:tcPr>
          <w:p w14:paraId="48672474">
            <w:pPr>
              <w:pStyle w:val="82"/>
              <w:spacing w:after="0" w:line="240" w:lineRule="auto"/>
              <w:rPr>
                <w:rFonts w:ascii="Times New Roman" w:hAnsi="Times New Roman" w:cs="Times New Roman"/>
                <w:sz w:val="20"/>
                <w:szCs w:val="20"/>
              </w:rPr>
            </w:pPr>
            <w:r>
              <w:t>Inventarul materialelor periculoase (de exemplu, azbest), siguranța materialelor de construcții (de exemplu, vopsele, solvenți)</w:t>
            </w:r>
          </w:p>
        </w:tc>
        <w:tc>
          <w:tcPr>
            <w:tcW w:w="523" w:type="pct"/>
          </w:tcPr>
          <w:p w14:paraId="37EE6303">
            <w:pPr>
              <w:pStyle w:val="82"/>
              <w:spacing w:after="0" w:line="240" w:lineRule="auto"/>
              <w:rPr>
                <w:rFonts w:ascii="Times New Roman" w:hAnsi="Times New Roman" w:cs="Times New Roman"/>
                <w:sz w:val="20"/>
                <w:szCs w:val="20"/>
              </w:rPr>
            </w:pPr>
            <w:r>
              <w:t>Magazinul / șantierul / șantierul contractantului</w:t>
            </w:r>
          </w:p>
        </w:tc>
        <w:tc>
          <w:tcPr>
            <w:tcW w:w="586" w:type="pct"/>
          </w:tcPr>
          <w:p w14:paraId="4F594102">
            <w:pPr>
              <w:pStyle w:val="82"/>
              <w:spacing w:after="0" w:line="240" w:lineRule="auto"/>
              <w:rPr>
                <w:rFonts w:ascii="Times New Roman" w:hAnsi="Times New Roman" w:cs="Times New Roman"/>
                <w:sz w:val="20"/>
                <w:szCs w:val="20"/>
              </w:rPr>
            </w:pPr>
            <w:r>
              <w:t>Inspecție vizuală, cercetare în baze de date cu materiale toxice, teste de laborator, dacă este necesar</w:t>
            </w:r>
          </w:p>
        </w:tc>
        <w:tc>
          <w:tcPr>
            <w:tcW w:w="603" w:type="pct"/>
          </w:tcPr>
          <w:p w14:paraId="2E1FB82E">
            <w:pPr>
              <w:pStyle w:val="82"/>
              <w:spacing w:after="0" w:line="240" w:lineRule="auto"/>
              <w:rPr>
                <w:rFonts w:ascii="Times New Roman" w:hAnsi="Times New Roman" w:cs="Times New Roman"/>
                <w:sz w:val="20"/>
                <w:szCs w:val="20"/>
              </w:rPr>
            </w:pPr>
            <w:r>
              <w:t>Înainte de începerea lucrărilor de reabilitare / Înainte de aprobarea materialului</w:t>
            </w:r>
          </w:p>
        </w:tc>
        <w:tc>
          <w:tcPr>
            <w:tcW w:w="631" w:type="pct"/>
          </w:tcPr>
          <w:p w14:paraId="11E97702">
            <w:pPr>
              <w:pStyle w:val="82"/>
              <w:spacing w:after="0" w:line="240" w:lineRule="auto"/>
              <w:rPr>
                <w:rFonts w:ascii="Times New Roman" w:hAnsi="Times New Roman" w:cs="Times New Roman"/>
                <w:sz w:val="20"/>
                <w:szCs w:val="20"/>
              </w:rPr>
            </w:pPr>
            <w:r>
              <w:t>Prevenirea riscurilor pentru sănătate și mediu</w:t>
            </w:r>
          </w:p>
        </w:tc>
        <w:tc>
          <w:tcPr>
            <w:tcW w:w="648" w:type="pct"/>
          </w:tcPr>
          <w:p w14:paraId="44874757">
            <w:pPr>
              <w:pStyle w:val="82"/>
              <w:spacing w:after="0" w:line="240" w:lineRule="auto"/>
              <w:rPr>
                <w:rFonts w:ascii="Times New Roman" w:hAnsi="Times New Roman" w:cs="Times New Roman"/>
                <w:sz w:val="20"/>
                <w:szCs w:val="20"/>
              </w:rPr>
            </w:pPr>
            <w:r>
              <w:t>marginală; cont special de analiză la PMU, dacă este necesar</w:t>
            </w:r>
          </w:p>
        </w:tc>
        <w:tc>
          <w:tcPr>
            <w:tcW w:w="641" w:type="pct"/>
          </w:tcPr>
          <w:p w14:paraId="14C8B69D">
            <w:pPr>
              <w:pStyle w:val="82"/>
              <w:spacing w:after="0" w:line="240" w:lineRule="auto"/>
              <w:rPr>
                <w:rFonts w:ascii="Times New Roman" w:hAnsi="Times New Roman" w:cs="Times New Roman"/>
                <w:sz w:val="20"/>
                <w:szCs w:val="20"/>
              </w:rPr>
            </w:pPr>
            <w:r>
              <w:t>Contractant, inginer, UIP</w:t>
            </w:r>
          </w:p>
        </w:tc>
      </w:tr>
      <w:tr w14:paraId="393B0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pct"/>
          </w:tcPr>
          <w:p w14:paraId="2538C477">
            <w:pPr>
              <w:pStyle w:val="82"/>
              <w:spacing w:after="0" w:line="240" w:lineRule="auto"/>
              <w:rPr>
                <w:rFonts w:ascii="Times New Roman" w:hAnsi="Times New Roman" w:cs="Times New Roman"/>
                <w:sz w:val="20"/>
                <w:szCs w:val="20"/>
              </w:rPr>
            </w:pPr>
            <w:r>
              <w:t>Construcții</w:t>
            </w:r>
          </w:p>
        </w:tc>
        <w:tc>
          <w:tcPr>
            <w:tcW w:w="791" w:type="pct"/>
          </w:tcPr>
          <w:p w14:paraId="0DD5DA15">
            <w:pPr>
              <w:pStyle w:val="82"/>
              <w:spacing w:after="0" w:line="240" w:lineRule="auto"/>
              <w:rPr>
                <w:rFonts w:ascii="Times New Roman" w:hAnsi="Times New Roman" w:cs="Times New Roman"/>
                <w:sz w:val="20"/>
                <w:szCs w:val="20"/>
              </w:rPr>
            </w:pPr>
            <w:r>
              <w:t>Praf (PM10, PM2.5), zgomot (dB), evacuarea apelor uzate, tipuri și volume de deșeuri</w:t>
            </w:r>
          </w:p>
        </w:tc>
        <w:tc>
          <w:tcPr>
            <w:tcW w:w="523" w:type="pct"/>
          </w:tcPr>
          <w:p w14:paraId="601C0ABA">
            <w:pPr>
              <w:pStyle w:val="82"/>
              <w:spacing w:after="0" w:line="240" w:lineRule="auto"/>
              <w:rPr>
                <w:rFonts w:ascii="Times New Roman" w:hAnsi="Times New Roman" w:cs="Times New Roman"/>
                <w:sz w:val="20"/>
                <w:szCs w:val="20"/>
              </w:rPr>
            </w:pPr>
            <w:r>
              <w:t>Șantier de construcții, perimetru, comunitate din apropiere</w:t>
            </w:r>
          </w:p>
        </w:tc>
        <w:tc>
          <w:tcPr>
            <w:tcW w:w="586" w:type="pct"/>
          </w:tcPr>
          <w:p w14:paraId="2ED47D21">
            <w:pPr>
              <w:pStyle w:val="82"/>
              <w:spacing w:after="0" w:line="240" w:lineRule="auto"/>
              <w:rPr>
                <w:rFonts w:ascii="Times New Roman" w:hAnsi="Times New Roman" w:cs="Times New Roman"/>
                <w:sz w:val="20"/>
                <w:szCs w:val="20"/>
              </w:rPr>
            </w:pPr>
            <w:r>
              <w:t>Controale vizuale, contoare/senzori, bușteni pentru transportul deșeurilor</w:t>
            </w:r>
          </w:p>
        </w:tc>
        <w:tc>
          <w:tcPr>
            <w:tcW w:w="603" w:type="pct"/>
          </w:tcPr>
          <w:p w14:paraId="28D1229F">
            <w:pPr>
              <w:pStyle w:val="82"/>
              <w:spacing w:after="0" w:line="240" w:lineRule="auto"/>
              <w:rPr>
                <w:rFonts w:ascii="Times New Roman" w:hAnsi="Times New Roman" w:cs="Times New Roman"/>
                <w:sz w:val="20"/>
                <w:szCs w:val="20"/>
              </w:rPr>
            </w:pPr>
            <w:r>
              <w:t>Zilnic sau continuu în timpul activității</w:t>
            </w:r>
          </w:p>
        </w:tc>
        <w:tc>
          <w:tcPr>
            <w:tcW w:w="631" w:type="pct"/>
          </w:tcPr>
          <w:p w14:paraId="7A29FA1C">
            <w:pPr>
              <w:pStyle w:val="82"/>
              <w:spacing w:after="0" w:line="240" w:lineRule="auto"/>
              <w:rPr>
                <w:rFonts w:ascii="Times New Roman" w:hAnsi="Times New Roman" w:cs="Times New Roman"/>
                <w:sz w:val="20"/>
                <w:szCs w:val="20"/>
              </w:rPr>
            </w:pPr>
            <w:r>
              <w:t>Minimizarea neplăcerilor, asigurarea conformității cu standardele de siguranță/mediu</w:t>
            </w:r>
          </w:p>
        </w:tc>
        <w:tc>
          <w:tcPr>
            <w:tcW w:w="648" w:type="pct"/>
          </w:tcPr>
          <w:p w14:paraId="376D07E6">
            <w:pPr>
              <w:pStyle w:val="82"/>
              <w:spacing w:after="0" w:line="240" w:lineRule="auto"/>
              <w:rPr>
                <w:rFonts w:ascii="Times New Roman" w:hAnsi="Times New Roman" w:cs="Times New Roman"/>
                <w:sz w:val="20"/>
                <w:szCs w:val="20"/>
              </w:rPr>
            </w:pPr>
            <w:r>
              <w:t>Inclus în bugetul contractantului</w:t>
            </w:r>
          </w:p>
        </w:tc>
        <w:tc>
          <w:tcPr>
            <w:tcW w:w="641" w:type="pct"/>
          </w:tcPr>
          <w:p w14:paraId="6CD4C29E">
            <w:pPr>
              <w:pStyle w:val="82"/>
              <w:spacing w:after="0" w:line="240" w:lineRule="auto"/>
              <w:rPr>
                <w:rFonts w:ascii="Times New Roman" w:hAnsi="Times New Roman" w:cs="Times New Roman"/>
                <w:sz w:val="20"/>
                <w:szCs w:val="20"/>
              </w:rPr>
            </w:pPr>
            <w:r>
              <w:t>Contractant, inginer, consultant de mediu</w:t>
            </w:r>
          </w:p>
        </w:tc>
      </w:tr>
      <w:tr w14:paraId="1FD7C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pct"/>
          </w:tcPr>
          <w:p w14:paraId="2968DEF0">
            <w:pPr>
              <w:pStyle w:val="82"/>
              <w:spacing w:after="0" w:line="240" w:lineRule="auto"/>
              <w:rPr>
                <w:rFonts w:ascii="Times New Roman" w:hAnsi="Times New Roman" w:cs="Times New Roman"/>
                <w:sz w:val="20"/>
                <w:szCs w:val="20"/>
              </w:rPr>
            </w:pPr>
            <w:r>
              <w:t>Construcții</w:t>
            </w:r>
          </w:p>
        </w:tc>
        <w:tc>
          <w:tcPr>
            <w:tcW w:w="791" w:type="pct"/>
          </w:tcPr>
          <w:p w14:paraId="373D6B90">
            <w:pPr>
              <w:pStyle w:val="82"/>
              <w:spacing w:after="0" w:line="240" w:lineRule="auto"/>
              <w:rPr>
                <w:rFonts w:ascii="Times New Roman" w:hAnsi="Times New Roman" w:cs="Times New Roman"/>
                <w:sz w:val="20"/>
                <w:szCs w:val="20"/>
              </w:rPr>
            </w:pPr>
            <w:r>
              <w:t>Sănătatea și siguranța în Comunitate (de exemplu, incidente de trafic, semnalizare), gestionarea reclamațiilor, formare în domeniul SEA/SH și CoC</w:t>
            </w:r>
          </w:p>
        </w:tc>
        <w:tc>
          <w:tcPr>
            <w:tcW w:w="523" w:type="pct"/>
          </w:tcPr>
          <w:p w14:paraId="4A544D00">
            <w:pPr>
              <w:pStyle w:val="82"/>
              <w:spacing w:after="0" w:line="240" w:lineRule="auto"/>
              <w:rPr>
                <w:rFonts w:ascii="Times New Roman" w:hAnsi="Times New Roman" w:cs="Times New Roman"/>
                <w:sz w:val="20"/>
                <w:szCs w:val="20"/>
              </w:rPr>
            </w:pPr>
            <w:r>
              <w:t>Drumuri de acces, comunitate, locații ale părților interesate</w:t>
            </w:r>
          </w:p>
        </w:tc>
        <w:tc>
          <w:tcPr>
            <w:tcW w:w="586" w:type="pct"/>
          </w:tcPr>
          <w:p w14:paraId="1F1AE31A">
            <w:pPr>
              <w:pStyle w:val="82"/>
              <w:spacing w:after="0" w:line="240" w:lineRule="auto"/>
              <w:rPr>
                <w:rFonts w:ascii="Times New Roman" w:hAnsi="Times New Roman" w:cs="Times New Roman"/>
                <w:sz w:val="20"/>
                <w:szCs w:val="20"/>
              </w:rPr>
            </w:pPr>
            <w:r>
              <w:t>Inspecție, înregistrări de formare, revizuirea jurnalului de reclamații</w:t>
            </w:r>
          </w:p>
        </w:tc>
        <w:tc>
          <w:tcPr>
            <w:tcW w:w="603" w:type="pct"/>
          </w:tcPr>
          <w:p w14:paraId="658717B6">
            <w:pPr>
              <w:pStyle w:val="82"/>
              <w:spacing w:after="0" w:line="240" w:lineRule="auto"/>
              <w:rPr>
                <w:rFonts w:ascii="Times New Roman" w:hAnsi="Times New Roman" w:cs="Times New Roman"/>
                <w:sz w:val="20"/>
                <w:szCs w:val="20"/>
              </w:rPr>
            </w:pPr>
            <w:r>
              <w:t>Lunar și în timpul incidentelor / Trimestrial pentru formare</w:t>
            </w:r>
          </w:p>
        </w:tc>
        <w:tc>
          <w:tcPr>
            <w:tcW w:w="631" w:type="pct"/>
          </w:tcPr>
          <w:p w14:paraId="0AA594F6">
            <w:pPr>
              <w:pStyle w:val="82"/>
              <w:spacing w:after="0" w:line="240" w:lineRule="auto"/>
              <w:rPr>
                <w:rFonts w:ascii="Times New Roman" w:hAnsi="Times New Roman" w:cs="Times New Roman"/>
                <w:sz w:val="20"/>
                <w:szCs w:val="20"/>
              </w:rPr>
            </w:pPr>
            <w:r>
              <w:t>Promovarea unui mediu sigur și favorabil incluziunii, răspunsul la riscurile sociale</w:t>
            </w:r>
          </w:p>
        </w:tc>
        <w:tc>
          <w:tcPr>
            <w:tcW w:w="648" w:type="pct"/>
          </w:tcPr>
          <w:p w14:paraId="0D504DCE">
            <w:pPr>
              <w:pStyle w:val="82"/>
              <w:spacing w:after="0" w:line="240" w:lineRule="auto"/>
              <w:rPr>
                <w:rFonts w:ascii="Times New Roman" w:hAnsi="Times New Roman" w:cs="Times New Roman"/>
                <w:sz w:val="20"/>
                <w:szCs w:val="20"/>
              </w:rPr>
            </w:pPr>
            <w:r>
              <w:t>Inclus în bugetul UIP/contractantului</w:t>
            </w:r>
          </w:p>
        </w:tc>
        <w:tc>
          <w:tcPr>
            <w:tcW w:w="641" w:type="pct"/>
          </w:tcPr>
          <w:p w14:paraId="5CC5804C">
            <w:pPr>
              <w:pStyle w:val="82"/>
              <w:spacing w:after="0" w:line="240" w:lineRule="auto"/>
              <w:rPr>
                <w:rFonts w:ascii="Times New Roman" w:hAnsi="Times New Roman" w:cs="Times New Roman"/>
                <w:sz w:val="20"/>
                <w:szCs w:val="20"/>
              </w:rPr>
            </w:pPr>
            <w:r>
              <w:t>Contractant, UIP, Specialist în domeniul social</w:t>
            </w:r>
          </w:p>
        </w:tc>
      </w:tr>
      <w:tr w14:paraId="51CE9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pct"/>
          </w:tcPr>
          <w:p w14:paraId="7B18C08E">
            <w:pPr>
              <w:pStyle w:val="82"/>
              <w:spacing w:after="0" w:line="240" w:lineRule="auto"/>
              <w:rPr>
                <w:rFonts w:ascii="Times New Roman" w:hAnsi="Times New Roman" w:cs="Times New Roman"/>
                <w:sz w:val="20"/>
                <w:szCs w:val="20"/>
              </w:rPr>
            </w:pPr>
            <w:r>
              <w:t>Construcție și amplificare; Exploatare timpurie (Pre-Bypass)</w:t>
            </w:r>
          </w:p>
        </w:tc>
        <w:tc>
          <w:tcPr>
            <w:tcW w:w="791" w:type="pct"/>
          </w:tcPr>
          <w:p w14:paraId="7FA008D5">
            <w:pPr>
              <w:pStyle w:val="82"/>
              <w:spacing w:after="0" w:line="240" w:lineRule="auto"/>
              <w:rPr>
                <w:rFonts w:ascii="Times New Roman" w:hAnsi="Times New Roman" w:cs="Times New Roman"/>
                <w:sz w:val="20"/>
                <w:szCs w:val="20"/>
              </w:rPr>
            </w:pPr>
            <w:r>
              <w:t>Gestionarea traficului: semnalizare, denivelări de viteză, bariere; restricții privind camioanele; aplicarea limitelor de viteză (30-40 km/h); monitorizarea zilnică a fluxurilor de camioane; campanii de sensibilizare a comunității.</w:t>
            </w:r>
          </w:p>
        </w:tc>
        <w:tc>
          <w:tcPr>
            <w:tcW w:w="523" w:type="pct"/>
          </w:tcPr>
          <w:p w14:paraId="397FE052">
            <w:pPr>
              <w:pStyle w:val="82"/>
              <w:spacing w:after="0" w:line="240" w:lineRule="auto"/>
              <w:rPr>
                <w:rFonts w:ascii="Times New Roman" w:hAnsi="Times New Roman" w:cs="Times New Roman"/>
                <w:sz w:val="20"/>
                <w:szCs w:val="20"/>
              </w:rPr>
            </w:pPr>
            <w:r>
              <w:t>Drumurile satului Giurgiulești, accesul la peron și intersecțiile R34/M3.</w:t>
            </w:r>
          </w:p>
        </w:tc>
        <w:tc>
          <w:tcPr>
            <w:tcW w:w="586" w:type="pct"/>
          </w:tcPr>
          <w:p w14:paraId="79CD76E3">
            <w:pPr>
              <w:pStyle w:val="82"/>
              <w:spacing w:after="0" w:line="240" w:lineRule="auto"/>
              <w:rPr>
                <w:rFonts w:ascii="Times New Roman" w:hAnsi="Times New Roman" w:cs="Times New Roman"/>
                <w:sz w:val="20"/>
                <w:szCs w:val="20"/>
              </w:rPr>
            </w:pPr>
            <w:r>
              <w:t>Numărarea zilnică a traficului, monitorizarea electronică a sistemului de așteptare, patrule de poliție, întâlniri SIMC/comunitate, revizuiri ale jurnalului de reclamații</w:t>
            </w:r>
          </w:p>
        </w:tc>
        <w:tc>
          <w:tcPr>
            <w:tcW w:w="603" w:type="pct"/>
          </w:tcPr>
          <w:p w14:paraId="5A56DF25">
            <w:pPr>
              <w:pStyle w:val="82"/>
              <w:spacing w:after="0" w:line="240" w:lineRule="auto"/>
              <w:rPr>
                <w:rFonts w:ascii="Times New Roman" w:hAnsi="Times New Roman" w:cs="Times New Roman"/>
                <w:sz w:val="20"/>
                <w:szCs w:val="20"/>
              </w:rPr>
            </w:pPr>
            <w:r>
              <w:t xml:space="preserve">De la începutul construcției până la punerea în funcțiune a șoselei de centură M3 (decembrie 2025). </w:t>
            </w:r>
          </w:p>
        </w:tc>
        <w:tc>
          <w:tcPr>
            <w:tcW w:w="631" w:type="pct"/>
          </w:tcPr>
          <w:p w14:paraId="51BB71DF">
            <w:pPr>
              <w:pStyle w:val="82"/>
              <w:spacing w:after="0" w:line="240" w:lineRule="auto"/>
              <w:rPr>
                <w:rFonts w:ascii="Times New Roman" w:hAnsi="Times New Roman" w:cs="Times New Roman"/>
                <w:sz w:val="20"/>
                <w:szCs w:val="20"/>
              </w:rPr>
            </w:pPr>
            <w:r>
              <w:t>Prevenirea creșterii traficului de camioane prin sat; reducerea zgomotului, a prafului, a vibrațiilor și a riscurilor la adresa siguranței; să răspundă preocupărilor comunității.</w:t>
            </w:r>
          </w:p>
        </w:tc>
        <w:tc>
          <w:tcPr>
            <w:tcW w:w="648" w:type="pct"/>
          </w:tcPr>
          <w:p w14:paraId="1F0C5347">
            <w:pPr>
              <w:pStyle w:val="82"/>
              <w:spacing w:after="0" w:line="240" w:lineRule="auto"/>
              <w:rPr>
                <w:rFonts w:ascii="Times New Roman" w:hAnsi="Times New Roman" w:cs="Times New Roman"/>
                <w:sz w:val="20"/>
                <w:szCs w:val="20"/>
              </w:rPr>
            </w:pPr>
            <w:r>
              <w:t>Inclus în bugetul operațional al contractantului/UIP</w:t>
            </w:r>
          </w:p>
        </w:tc>
        <w:tc>
          <w:tcPr>
            <w:tcW w:w="641" w:type="pct"/>
          </w:tcPr>
          <w:p w14:paraId="36E38769">
            <w:pPr>
              <w:pStyle w:val="82"/>
              <w:spacing w:after="0" w:line="240" w:lineRule="auto"/>
              <w:rPr>
                <w:rFonts w:ascii="Times New Roman" w:hAnsi="Times New Roman" w:cs="Times New Roman"/>
                <w:sz w:val="20"/>
                <w:szCs w:val="20"/>
              </w:rPr>
            </w:pPr>
            <w:r>
              <w:t>Contractant, UIP, APL (executare la nivel local), ANR (coordonare).</w:t>
            </w:r>
          </w:p>
        </w:tc>
      </w:tr>
      <w:tr w14:paraId="3AF9D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pct"/>
          </w:tcPr>
          <w:p w14:paraId="784F4556">
            <w:pPr>
              <w:pStyle w:val="82"/>
              <w:spacing w:after="0" w:line="240" w:lineRule="auto"/>
              <w:rPr>
                <w:rFonts w:ascii="Times New Roman" w:hAnsi="Times New Roman" w:cs="Times New Roman"/>
                <w:sz w:val="20"/>
                <w:szCs w:val="20"/>
              </w:rPr>
            </w:pPr>
            <w:r>
              <w:t>Operațiune (post-bypass)</w:t>
            </w:r>
          </w:p>
        </w:tc>
        <w:tc>
          <w:tcPr>
            <w:tcW w:w="791" w:type="pct"/>
          </w:tcPr>
          <w:p w14:paraId="1423FDD0">
            <w:pPr>
              <w:pStyle w:val="82"/>
              <w:spacing w:after="0" w:line="240" w:lineRule="auto"/>
              <w:rPr>
                <w:rFonts w:ascii="Times New Roman" w:hAnsi="Times New Roman" w:cs="Times New Roman"/>
                <w:sz w:val="20"/>
                <w:szCs w:val="20"/>
              </w:rPr>
            </w:pPr>
            <w:r>
              <w:t>aplicarea utilizării obligatorii a șoselei de centură; instalarea semnalizării permanente și a VMS; Actualizări de rutare GPS; puncte de control aleatorii ale poliției; Implicarea comunității prin SIMC.</w:t>
            </w:r>
          </w:p>
        </w:tc>
        <w:tc>
          <w:tcPr>
            <w:tcW w:w="523" w:type="pct"/>
          </w:tcPr>
          <w:p w14:paraId="43CCDAEC">
            <w:pPr>
              <w:pStyle w:val="82"/>
              <w:spacing w:after="0" w:line="240" w:lineRule="auto"/>
              <w:rPr>
                <w:rFonts w:ascii="Times New Roman" w:hAnsi="Times New Roman" w:cs="Times New Roman"/>
                <w:sz w:val="20"/>
                <w:szCs w:val="20"/>
              </w:rPr>
            </w:pPr>
            <w:r>
              <w:t>Vechiul R34 prin satul Giurgiulești, intersecții de ocolire, intrarea pe platformă.</w:t>
            </w:r>
          </w:p>
        </w:tc>
        <w:tc>
          <w:tcPr>
            <w:tcW w:w="586" w:type="pct"/>
          </w:tcPr>
          <w:p w14:paraId="24F758B7">
            <w:pPr>
              <w:pStyle w:val="82"/>
              <w:spacing w:after="0" w:line="240" w:lineRule="auto"/>
              <w:rPr>
                <w:rFonts w:ascii="Times New Roman" w:hAnsi="Times New Roman" w:cs="Times New Roman"/>
                <w:sz w:val="20"/>
                <w:szCs w:val="20"/>
              </w:rPr>
            </w:pPr>
            <w:r>
              <w:t>Monitorizarea lunară a traficului (contoare/camere video), examinarea trimestrială a reclamațiilor, sondaje privind rezidenții, evidențe privind aplicarea legii, reuniuni SIMC.</w:t>
            </w:r>
          </w:p>
        </w:tc>
        <w:tc>
          <w:tcPr>
            <w:tcW w:w="603" w:type="pct"/>
          </w:tcPr>
          <w:p w14:paraId="40133B2C">
            <w:pPr>
              <w:pStyle w:val="82"/>
              <w:spacing w:after="0" w:line="240" w:lineRule="auto"/>
              <w:rPr>
                <w:rFonts w:ascii="Times New Roman" w:hAnsi="Times New Roman" w:cs="Times New Roman"/>
                <w:sz w:val="20"/>
                <w:szCs w:val="20"/>
              </w:rPr>
            </w:pPr>
            <w:r>
              <w:t>La punerea în funcțiune a by-pass-ului (2026 înainte, continuu).</w:t>
            </w:r>
          </w:p>
        </w:tc>
        <w:tc>
          <w:tcPr>
            <w:tcW w:w="631" w:type="pct"/>
          </w:tcPr>
          <w:p w14:paraId="3CD1E6E5">
            <w:pPr>
              <w:pStyle w:val="82"/>
              <w:spacing w:after="0" w:line="240" w:lineRule="auto"/>
              <w:rPr>
                <w:rFonts w:ascii="Times New Roman" w:hAnsi="Times New Roman" w:cs="Times New Roman"/>
                <w:sz w:val="20"/>
                <w:szCs w:val="20"/>
              </w:rPr>
            </w:pPr>
            <w:r>
              <w:t>Asigurați-vă că camioanele utilizează bypass-ul, reduceți traficul rezidual din sate (obiectiv de reducere &gt;80%), mențineți siguranța și satisfacția comunității.</w:t>
            </w:r>
          </w:p>
        </w:tc>
        <w:tc>
          <w:tcPr>
            <w:tcW w:w="648" w:type="pct"/>
          </w:tcPr>
          <w:p w14:paraId="5B93A5D9">
            <w:pPr>
              <w:pStyle w:val="82"/>
              <w:spacing w:after="0" w:line="240" w:lineRule="auto"/>
              <w:rPr>
                <w:rFonts w:ascii="Times New Roman" w:hAnsi="Times New Roman" w:cs="Times New Roman"/>
                <w:sz w:val="20"/>
                <w:szCs w:val="20"/>
              </w:rPr>
            </w:pPr>
            <w:r>
              <w:t>Inclus în bugetul operațional</w:t>
            </w:r>
          </w:p>
        </w:tc>
        <w:tc>
          <w:tcPr>
            <w:tcW w:w="641" w:type="pct"/>
          </w:tcPr>
          <w:p w14:paraId="4A4E5AAF">
            <w:pPr>
              <w:pStyle w:val="82"/>
              <w:spacing w:after="0" w:line="240" w:lineRule="auto"/>
              <w:rPr>
                <w:rFonts w:ascii="Times New Roman" w:hAnsi="Times New Roman" w:cs="Times New Roman"/>
                <w:sz w:val="20"/>
                <w:szCs w:val="20"/>
              </w:rPr>
            </w:pPr>
            <w:r>
              <w:t>MCS (operațiuni pe platformă/sistem de așteptare), ANR (semnalizare/reglementări), Poliția locală (aplicare), APL (legătură, SIMC)</w:t>
            </w:r>
          </w:p>
        </w:tc>
      </w:tr>
      <w:tr w14:paraId="51EA4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pct"/>
          </w:tcPr>
          <w:p w14:paraId="330A30C3">
            <w:pPr>
              <w:pStyle w:val="82"/>
              <w:spacing w:after="0" w:line="240" w:lineRule="auto"/>
              <w:rPr>
                <w:rFonts w:ascii="Times New Roman" w:hAnsi="Times New Roman" w:cs="Times New Roman"/>
                <w:sz w:val="20"/>
                <w:szCs w:val="20"/>
              </w:rPr>
            </w:pPr>
            <w:r>
              <w:t>Funcționare</w:t>
            </w:r>
          </w:p>
        </w:tc>
        <w:tc>
          <w:tcPr>
            <w:tcW w:w="791" w:type="pct"/>
          </w:tcPr>
          <w:p w14:paraId="28FD665C">
            <w:pPr>
              <w:pStyle w:val="82"/>
              <w:spacing w:after="0" w:line="240" w:lineRule="auto"/>
              <w:rPr>
                <w:rFonts w:ascii="Times New Roman" w:hAnsi="Times New Roman" w:cs="Times New Roman"/>
                <w:sz w:val="20"/>
                <w:szCs w:val="20"/>
              </w:rPr>
            </w:pPr>
            <w:r>
              <w:t>Starea apelor pluviale și de suprafață, întreținerea instalațiilor sanitare, satisfacția comunității</w:t>
            </w:r>
          </w:p>
        </w:tc>
        <w:tc>
          <w:tcPr>
            <w:tcW w:w="523" w:type="pct"/>
          </w:tcPr>
          <w:p w14:paraId="1C4C8FC5">
            <w:pPr>
              <w:pStyle w:val="82"/>
              <w:spacing w:after="0" w:line="240" w:lineRule="auto"/>
              <w:rPr>
                <w:rFonts w:ascii="Times New Roman" w:hAnsi="Times New Roman" w:cs="Times New Roman"/>
                <w:sz w:val="20"/>
                <w:szCs w:val="20"/>
              </w:rPr>
            </w:pPr>
            <w:r>
              <w:t>Site-ul platformei și zonele de drenaj înconjurătoare</w:t>
            </w:r>
          </w:p>
        </w:tc>
        <w:tc>
          <w:tcPr>
            <w:tcW w:w="586" w:type="pct"/>
          </w:tcPr>
          <w:p w14:paraId="403442D2">
            <w:pPr>
              <w:pStyle w:val="82"/>
              <w:spacing w:after="0" w:line="240" w:lineRule="auto"/>
              <w:rPr>
                <w:rFonts w:ascii="Times New Roman" w:hAnsi="Times New Roman" w:cs="Times New Roman"/>
                <w:sz w:val="20"/>
                <w:szCs w:val="20"/>
              </w:rPr>
            </w:pPr>
            <w:r>
              <w:t>Inspecții, sondaje în rândul utilizatorilor, formulare de feedback</w:t>
            </w:r>
          </w:p>
        </w:tc>
        <w:tc>
          <w:tcPr>
            <w:tcW w:w="603" w:type="pct"/>
          </w:tcPr>
          <w:p w14:paraId="2FF44C5B">
            <w:pPr>
              <w:pStyle w:val="82"/>
              <w:spacing w:after="0" w:line="240" w:lineRule="auto"/>
              <w:rPr>
                <w:rFonts w:ascii="Times New Roman" w:hAnsi="Times New Roman" w:cs="Times New Roman"/>
                <w:sz w:val="20"/>
                <w:szCs w:val="20"/>
              </w:rPr>
            </w:pPr>
            <w:r>
              <w:t>Trimestrial pentru apă/drenaj, Lunar pentru salubritate, Anual pentru feedback</w:t>
            </w:r>
          </w:p>
        </w:tc>
        <w:tc>
          <w:tcPr>
            <w:tcW w:w="631" w:type="pct"/>
          </w:tcPr>
          <w:p w14:paraId="4A21FF46">
            <w:pPr>
              <w:pStyle w:val="82"/>
              <w:spacing w:after="0" w:line="240" w:lineRule="auto"/>
              <w:rPr>
                <w:rFonts w:ascii="Times New Roman" w:hAnsi="Times New Roman" w:cs="Times New Roman"/>
                <w:sz w:val="20"/>
                <w:szCs w:val="20"/>
              </w:rPr>
            </w:pPr>
            <w:r>
              <w:t>Asigurarea funcționării în condiții de siguranță, a bunăstării utilizatorilor, a implicării continue a părților interesate</w:t>
            </w:r>
          </w:p>
        </w:tc>
        <w:tc>
          <w:tcPr>
            <w:tcW w:w="648" w:type="pct"/>
          </w:tcPr>
          <w:p w14:paraId="154AED75">
            <w:pPr>
              <w:pStyle w:val="82"/>
              <w:spacing w:after="0" w:line="240" w:lineRule="auto"/>
              <w:rPr>
                <w:rFonts w:ascii="Times New Roman" w:hAnsi="Times New Roman" w:cs="Times New Roman"/>
                <w:sz w:val="20"/>
                <w:szCs w:val="20"/>
              </w:rPr>
            </w:pPr>
            <w:r>
              <w:t>Costuri operaționale</w:t>
            </w:r>
          </w:p>
        </w:tc>
        <w:tc>
          <w:tcPr>
            <w:tcW w:w="641" w:type="pct"/>
          </w:tcPr>
          <w:p w14:paraId="768470DA">
            <w:pPr>
              <w:pStyle w:val="82"/>
              <w:spacing w:after="0" w:line="240" w:lineRule="auto"/>
              <w:rPr>
                <w:rFonts w:ascii="Times New Roman" w:hAnsi="Times New Roman" w:cs="Times New Roman"/>
                <w:sz w:val="20"/>
                <w:szCs w:val="20"/>
              </w:rPr>
            </w:pPr>
            <w:r>
              <w:t>Serviciul vamal, operatorul instalației</w:t>
            </w:r>
          </w:p>
        </w:tc>
      </w:tr>
      <w:tr w14:paraId="223FD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 w:type="pct"/>
          </w:tcPr>
          <w:p w14:paraId="230F746D">
            <w:pPr>
              <w:pStyle w:val="82"/>
              <w:spacing w:after="0" w:line="240" w:lineRule="auto"/>
              <w:rPr>
                <w:rFonts w:ascii="Times New Roman" w:hAnsi="Times New Roman" w:cs="Times New Roman"/>
                <w:sz w:val="20"/>
                <w:szCs w:val="20"/>
              </w:rPr>
            </w:pPr>
            <w:r>
              <w:t>Funcționare</w:t>
            </w:r>
          </w:p>
        </w:tc>
        <w:tc>
          <w:tcPr>
            <w:tcW w:w="791" w:type="pct"/>
          </w:tcPr>
          <w:p w14:paraId="22F247AD">
            <w:pPr>
              <w:pStyle w:val="82"/>
              <w:spacing w:after="0" w:line="240" w:lineRule="auto"/>
              <w:rPr>
                <w:rFonts w:ascii="Times New Roman" w:hAnsi="Times New Roman" w:cs="Times New Roman"/>
                <w:sz w:val="20"/>
                <w:szCs w:val="20"/>
              </w:rPr>
            </w:pPr>
            <w:r>
              <w:t>Plângeri primite/soluționate, feedback din partea comunității cu privire la performanța platformei</w:t>
            </w:r>
          </w:p>
        </w:tc>
        <w:tc>
          <w:tcPr>
            <w:tcW w:w="523" w:type="pct"/>
          </w:tcPr>
          <w:p w14:paraId="43B475AA">
            <w:pPr>
              <w:pStyle w:val="82"/>
              <w:spacing w:after="0" w:line="240" w:lineRule="auto"/>
              <w:rPr>
                <w:rFonts w:ascii="Times New Roman" w:hAnsi="Times New Roman" w:cs="Times New Roman"/>
                <w:sz w:val="20"/>
                <w:szCs w:val="20"/>
              </w:rPr>
            </w:pPr>
            <w:r>
              <w:t>Comunitate, registrul reclamațiilor UIP</w:t>
            </w:r>
          </w:p>
        </w:tc>
        <w:tc>
          <w:tcPr>
            <w:tcW w:w="586" w:type="pct"/>
          </w:tcPr>
          <w:p w14:paraId="7D12CEF9">
            <w:pPr>
              <w:pStyle w:val="82"/>
              <w:spacing w:after="0" w:line="240" w:lineRule="auto"/>
              <w:rPr>
                <w:rFonts w:ascii="Times New Roman" w:hAnsi="Times New Roman" w:cs="Times New Roman"/>
                <w:sz w:val="20"/>
                <w:szCs w:val="20"/>
              </w:rPr>
            </w:pPr>
            <w:r>
              <w:t>Revizuirea jurnalului, reuniuni, formulare de feedback</w:t>
            </w:r>
          </w:p>
        </w:tc>
        <w:tc>
          <w:tcPr>
            <w:tcW w:w="603" w:type="pct"/>
          </w:tcPr>
          <w:p w14:paraId="559B2CF4">
            <w:pPr>
              <w:pStyle w:val="82"/>
              <w:spacing w:after="0" w:line="240" w:lineRule="auto"/>
              <w:rPr>
                <w:rFonts w:ascii="Times New Roman" w:hAnsi="Times New Roman" w:cs="Times New Roman"/>
                <w:sz w:val="20"/>
                <w:szCs w:val="20"/>
              </w:rPr>
            </w:pPr>
            <w:r>
              <w:t>Lunar (plângeri), anual (angajament)</w:t>
            </w:r>
          </w:p>
        </w:tc>
        <w:tc>
          <w:tcPr>
            <w:tcW w:w="631" w:type="pct"/>
          </w:tcPr>
          <w:p w14:paraId="3D186847">
            <w:pPr>
              <w:pStyle w:val="82"/>
              <w:spacing w:after="0" w:line="240" w:lineRule="auto"/>
              <w:rPr>
                <w:rFonts w:ascii="Times New Roman" w:hAnsi="Times New Roman" w:cs="Times New Roman"/>
                <w:sz w:val="20"/>
                <w:szCs w:val="20"/>
              </w:rPr>
            </w:pPr>
            <w:r>
              <w:t>Adresați-vă preocupărilor comunității, asigurați un serviciu receptiv</w:t>
            </w:r>
          </w:p>
        </w:tc>
        <w:tc>
          <w:tcPr>
            <w:tcW w:w="648" w:type="pct"/>
          </w:tcPr>
          <w:p w14:paraId="6C654B40">
            <w:pPr>
              <w:pStyle w:val="82"/>
              <w:spacing w:after="0" w:line="240" w:lineRule="auto"/>
              <w:rPr>
                <w:rFonts w:ascii="Times New Roman" w:hAnsi="Times New Roman" w:cs="Times New Roman"/>
                <w:sz w:val="20"/>
                <w:szCs w:val="20"/>
              </w:rPr>
            </w:pPr>
            <w:r>
              <w:t>Inclus în bugetul operațional</w:t>
            </w:r>
          </w:p>
        </w:tc>
        <w:tc>
          <w:tcPr>
            <w:tcW w:w="641" w:type="pct"/>
          </w:tcPr>
          <w:p w14:paraId="0504BFD4">
            <w:pPr>
              <w:pStyle w:val="82"/>
              <w:spacing w:after="0" w:line="240" w:lineRule="auto"/>
              <w:rPr>
                <w:rFonts w:ascii="Times New Roman" w:hAnsi="Times New Roman" w:cs="Times New Roman"/>
                <w:sz w:val="20"/>
                <w:szCs w:val="20"/>
              </w:rPr>
            </w:pPr>
            <w:r>
              <w:t>UIP, Serviciul Vamal, Consultant Social</w:t>
            </w:r>
          </w:p>
        </w:tc>
      </w:tr>
    </w:tbl>
    <w:p w14:paraId="1A9D63EB">
      <w:pPr>
        <w:autoSpaceDE w:val="0"/>
        <w:autoSpaceDN w:val="0"/>
        <w:adjustRightInd w:val="0"/>
        <w:spacing w:after="0" w:line="276" w:lineRule="auto"/>
        <w:jc w:val="both"/>
        <w:rPr>
          <w:rFonts w:ascii="Times New Roman" w:hAnsi="Times New Roman" w:cs="Times New Roman"/>
          <w:color w:val="000000"/>
        </w:rPr>
      </w:pPr>
    </w:p>
    <w:p w14:paraId="46ED44AE">
      <w:pPr>
        <w:autoSpaceDE w:val="0"/>
        <w:autoSpaceDN w:val="0"/>
        <w:adjustRightInd w:val="0"/>
        <w:spacing w:after="0" w:line="276" w:lineRule="auto"/>
        <w:jc w:val="both"/>
        <w:rPr>
          <w:rFonts w:ascii="Times New Roman" w:hAnsi="Times New Roman" w:cs="Times New Roman"/>
          <w:color w:val="000000"/>
        </w:rPr>
      </w:pPr>
    </w:p>
    <w:p w14:paraId="6AE4E3EC">
      <w:pPr>
        <w:autoSpaceDE w:val="0"/>
        <w:autoSpaceDN w:val="0"/>
        <w:adjustRightInd w:val="0"/>
        <w:spacing w:after="0" w:line="276" w:lineRule="auto"/>
        <w:jc w:val="both"/>
        <w:rPr>
          <w:rFonts w:ascii="Times New Roman" w:hAnsi="Times New Roman" w:cs="Times New Roman"/>
          <w:color w:val="000000"/>
        </w:rPr>
        <w:sectPr>
          <w:pgSz w:w="15840" w:h="12240" w:orient="landscape"/>
          <w:pgMar w:top="1440" w:right="1440" w:bottom="1440" w:left="1440" w:header="720" w:footer="720" w:gutter="0"/>
          <w:cols w:space="720" w:num="1"/>
          <w:docGrid w:linePitch="360" w:charSpace="0"/>
        </w:sectPr>
      </w:pPr>
    </w:p>
    <w:p w14:paraId="108D91F7">
      <w:pPr>
        <w:pStyle w:val="68"/>
        <w:autoSpaceDE w:val="0"/>
        <w:autoSpaceDN w:val="0"/>
        <w:adjustRightInd w:val="0"/>
        <w:spacing w:after="0" w:line="276" w:lineRule="auto"/>
        <w:jc w:val="both"/>
        <w:rPr>
          <w:rFonts w:ascii="Times New Roman" w:hAnsi="Times New Roman" w:cs="Times New Roman"/>
          <w:b/>
          <w:bCs/>
          <w:color w:val="000000"/>
        </w:rPr>
      </w:pPr>
      <w:bookmarkStart w:id="19" w:name="_GoBack"/>
      <w:r>
        <w:t>Anexa</w:t>
      </w:r>
      <w:bookmarkEnd w:id="19"/>
      <w:r>
        <w:t xml:space="preserve"> 1 </w:t>
      </w:r>
    </w:p>
    <w:p w14:paraId="368C9DA6">
      <w:pPr>
        <w:autoSpaceDE w:val="0"/>
        <w:autoSpaceDN w:val="0"/>
        <w:adjustRightInd w:val="0"/>
        <w:spacing w:after="0" w:line="276" w:lineRule="auto"/>
        <w:jc w:val="both"/>
        <w:rPr>
          <w:rFonts w:ascii="Times New Roman" w:hAnsi="Times New Roman" w:cs="Times New Roman"/>
          <w:color w:val="000000"/>
        </w:rPr>
      </w:pPr>
    </w:p>
    <w:p w14:paraId="28687AB8">
      <w:pPr>
        <w:pStyle w:val="61"/>
        <w:autoSpaceDE w:val="0"/>
        <w:autoSpaceDN w:val="0"/>
        <w:adjustRightInd w:val="0"/>
        <w:spacing w:after="0" w:line="276" w:lineRule="auto"/>
        <w:jc w:val="both"/>
        <w:rPr>
          <w:rFonts w:ascii="Times New Roman" w:hAnsi="Times New Roman" w:cs="Times New Roman"/>
          <w:color w:val="000000"/>
        </w:rPr>
      </w:pPr>
      <w:r>
        <w:t xml:space="preserve">Procesul-verbal al reuniunilor Proiect preliminar de ESIA </w:t>
      </w:r>
    </w:p>
    <w:p w14:paraId="10479C2F">
      <w:pPr>
        <w:autoSpaceDE w:val="0"/>
        <w:autoSpaceDN w:val="0"/>
        <w:adjustRightInd w:val="0"/>
        <w:spacing w:after="0" w:line="276" w:lineRule="auto"/>
        <w:jc w:val="both"/>
        <w:rPr>
          <w:rFonts w:ascii="Times New Roman" w:hAnsi="Times New Roman" w:cs="Times New Roman"/>
          <w:color w:val="000000"/>
        </w:rPr>
      </w:pPr>
    </w:p>
    <w:p w14:paraId="65D491A4">
      <w:pPr>
        <w:pStyle w:val="57"/>
        <w:spacing w:line="276" w:lineRule="auto"/>
        <w:jc w:val="center"/>
        <w:rPr>
          <w:rFonts w:ascii="Times New Roman" w:hAnsi="Times New Roman" w:cs="Times New Roman"/>
          <w:b/>
        </w:rPr>
      </w:pPr>
      <w:r>
        <w:t>Procesul-verbal al reuniunii</w:t>
      </w:r>
    </w:p>
    <w:p w14:paraId="26E428F5">
      <w:pPr>
        <w:pStyle w:val="57"/>
        <w:spacing w:line="276" w:lineRule="auto"/>
        <w:jc w:val="center"/>
        <w:rPr>
          <w:rFonts w:ascii="Times New Roman" w:hAnsi="Times New Roman" w:cs="Times New Roman"/>
          <w:b/>
        </w:rPr>
      </w:pPr>
      <w:r>
        <w:t xml:space="preserve">Consultări publice pentru </w:t>
      </w:r>
    </w:p>
    <w:p w14:paraId="1A03F375">
      <w:pPr>
        <w:pStyle w:val="57"/>
        <w:spacing w:line="276" w:lineRule="auto"/>
        <w:jc w:val="center"/>
        <w:rPr>
          <w:rFonts w:ascii="Times New Roman" w:hAnsi="Times New Roman" w:cs="Times New Roman"/>
          <w:b/>
        </w:rPr>
      </w:pPr>
      <w:r>
        <w:t>SEP, RPF, LMP și Preliminary Environmental &amp;Amp; Evaluarea impactului social pentru PCF și drumurile de acces</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6"/>
        <w:gridCol w:w="2344"/>
        <w:gridCol w:w="2234"/>
        <w:gridCol w:w="390"/>
        <w:gridCol w:w="1659"/>
        <w:gridCol w:w="972"/>
        <w:gridCol w:w="837"/>
        <w:gridCol w:w="764"/>
      </w:tblGrid>
      <w:tr w14:paraId="36B72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249F88AD">
            <w:pPr>
              <w:spacing w:after="0" w:line="276" w:lineRule="auto"/>
              <w:rPr>
                <w:rFonts w:ascii="Times New Roman" w:hAnsi="Times New Roman" w:cs="Times New Roman"/>
                <w:b/>
                <w:i/>
              </w:rPr>
            </w:pPr>
          </w:p>
        </w:tc>
        <w:tc>
          <w:tcPr>
            <w:tcW w:w="2014" w:type="dxa"/>
          </w:tcPr>
          <w:p w14:paraId="174B1F08">
            <w:pPr>
              <w:pStyle w:val="86"/>
              <w:spacing w:after="0" w:line="276" w:lineRule="auto"/>
              <w:rPr>
                <w:rFonts w:ascii="Times New Roman" w:hAnsi="Times New Roman" w:cs="Times New Roman"/>
                <w:b/>
                <w:i/>
              </w:rPr>
            </w:pPr>
            <w:r>
              <w:t xml:space="preserve">Data </w:t>
            </w:r>
          </w:p>
        </w:tc>
        <w:tc>
          <w:tcPr>
            <w:tcW w:w="2275" w:type="dxa"/>
            <w:tcBorders>
              <w:right w:val="single" w:color="auto" w:sz="4" w:space="0"/>
            </w:tcBorders>
          </w:tcPr>
          <w:p w14:paraId="37F222A4">
            <w:pPr>
              <w:pStyle w:val="59"/>
              <w:spacing w:after="0" w:line="276" w:lineRule="auto"/>
              <w:rPr>
                <w:rFonts w:ascii="Times New Roman" w:hAnsi="Times New Roman" w:cs="Times New Roman"/>
              </w:rPr>
            </w:pPr>
            <w:r>
              <w:t>31.01.2024</w:t>
            </w:r>
          </w:p>
        </w:tc>
        <w:tc>
          <w:tcPr>
            <w:tcW w:w="397" w:type="dxa"/>
            <w:tcBorders>
              <w:top w:val="nil"/>
              <w:left w:val="single" w:color="auto" w:sz="4" w:space="0"/>
              <w:bottom w:val="nil"/>
              <w:right w:val="nil"/>
            </w:tcBorders>
          </w:tcPr>
          <w:p w14:paraId="5F27B1E9">
            <w:pPr>
              <w:spacing w:after="0" w:line="276" w:lineRule="auto"/>
              <w:rPr>
                <w:rFonts w:ascii="Times New Roman" w:hAnsi="Times New Roman" w:cs="Times New Roman"/>
              </w:rPr>
            </w:pPr>
          </w:p>
        </w:tc>
        <w:tc>
          <w:tcPr>
            <w:tcW w:w="1687" w:type="dxa"/>
            <w:tcBorders>
              <w:top w:val="nil"/>
              <w:left w:val="nil"/>
              <w:bottom w:val="nil"/>
              <w:right w:val="nil"/>
            </w:tcBorders>
          </w:tcPr>
          <w:p w14:paraId="10E12AAA">
            <w:pPr>
              <w:spacing w:after="0" w:line="276" w:lineRule="auto"/>
              <w:rPr>
                <w:rFonts w:ascii="Times New Roman" w:hAnsi="Times New Roman" w:cs="Times New Roman"/>
              </w:rPr>
            </w:pPr>
          </w:p>
        </w:tc>
        <w:tc>
          <w:tcPr>
            <w:tcW w:w="983" w:type="dxa"/>
            <w:tcBorders>
              <w:top w:val="nil"/>
              <w:left w:val="nil"/>
              <w:bottom w:val="nil"/>
              <w:right w:val="nil"/>
            </w:tcBorders>
          </w:tcPr>
          <w:p w14:paraId="292E6844">
            <w:pPr>
              <w:spacing w:after="0" w:line="276" w:lineRule="auto"/>
              <w:rPr>
                <w:rFonts w:ascii="Times New Roman" w:hAnsi="Times New Roman" w:cs="Times New Roman"/>
              </w:rPr>
            </w:pPr>
          </w:p>
        </w:tc>
        <w:tc>
          <w:tcPr>
            <w:tcW w:w="845" w:type="dxa"/>
            <w:tcBorders>
              <w:top w:val="nil"/>
              <w:left w:val="nil"/>
              <w:bottom w:val="nil"/>
              <w:right w:val="nil"/>
            </w:tcBorders>
          </w:tcPr>
          <w:p w14:paraId="7462CE7E">
            <w:pPr>
              <w:spacing w:after="0" w:line="276" w:lineRule="auto"/>
              <w:rPr>
                <w:rFonts w:ascii="Times New Roman" w:hAnsi="Times New Roman" w:cs="Times New Roman"/>
              </w:rPr>
            </w:pPr>
          </w:p>
        </w:tc>
        <w:tc>
          <w:tcPr>
            <w:tcW w:w="770" w:type="dxa"/>
            <w:tcBorders>
              <w:top w:val="nil"/>
              <w:left w:val="nil"/>
              <w:bottom w:val="nil"/>
              <w:right w:val="nil"/>
            </w:tcBorders>
          </w:tcPr>
          <w:p w14:paraId="0D98B728">
            <w:pPr>
              <w:spacing w:after="0" w:line="276" w:lineRule="auto"/>
              <w:rPr>
                <w:rFonts w:ascii="Times New Roman" w:hAnsi="Times New Roman" w:cs="Times New Roman"/>
              </w:rPr>
            </w:pPr>
          </w:p>
        </w:tc>
      </w:tr>
      <w:tr w14:paraId="2A243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2B10055E">
            <w:pPr>
              <w:spacing w:after="0" w:line="276" w:lineRule="auto"/>
              <w:rPr>
                <w:rFonts w:ascii="Times New Roman" w:hAnsi="Times New Roman" w:cs="Times New Roman"/>
                <w:b/>
                <w:i/>
              </w:rPr>
            </w:pPr>
          </w:p>
        </w:tc>
        <w:tc>
          <w:tcPr>
            <w:tcW w:w="2014" w:type="dxa"/>
          </w:tcPr>
          <w:p w14:paraId="20AAB141">
            <w:pPr>
              <w:pStyle w:val="86"/>
              <w:spacing w:after="0" w:line="276" w:lineRule="auto"/>
              <w:rPr>
                <w:rFonts w:ascii="Times New Roman" w:hAnsi="Times New Roman" w:cs="Times New Roman"/>
                <w:b/>
                <w:i/>
              </w:rPr>
            </w:pPr>
            <w:r>
              <w:t>Timp</w:t>
            </w:r>
          </w:p>
        </w:tc>
        <w:tc>
          <w:tcPr>
            <w:tcW w:w="2275" w:type="dxa"/>
            <w:tcBorders>
              <w:right w:val="single" w:color="auto" w:sz="4" w:space="0"/>
            </w:tcBorders>
          </w:tcPr>
          <w:p w14:paraId="4F5ED6BD">
            <w:pPr>
              <w:pStyle w:val="59"/>
              <w:spacing w:after="0" w:line="276" w:lineRule="auto"/>
              <w:rPr>
                <w:rFonts w:ascii="Times New Roman" w:hAnsi="Times New Roman" w:cs="Times New Roman"/>
              </w:rPr>
            </w:pPr>
            <w:r>
              <w:t>12.20-13.20</w:t>
            </w:r>
          </w:p>
        </w:tc>
        <w:tc>
          <w:tcPr>
            <w:tcW w:w="397" w:type="dxa"/>
            <w:tcBorders>
              <w:top w:val="nil"/>
              <w:left w:val="single" w:color="auto" w:sz="4" w:space="0"/>
              <w:bottom w:val="nil"/>
              <w:right w:val="nil"/>
            </w:tcBorders>
          </w:tcPr>
          <w:p w14:paraId="0460FF7C">
            <w:pPr>
              <w:spacing w:after="0" w:line="276" w:lineRule="auto"/>
              <w:rPr>
                <w:rFonts w:ascii="Times New Roman" w:hAnsi="Times New Roman" w:cs="Times New Roman"/>
              </w:rPr>
            </w:pPr>
          </w:p>
        </w:tc>
        <w:tc>
          <w:tcPr>
            <w:tcW w:w="1687" w:type="dxa"/>
            <w:tcBorders>
              <w:top w:val="nil"/>
              <w:left w:val="nil"/>
              <w:bottom w:val="nil"/>
              <w:right w:val="nil"/>
            </w:tcBorders>
          </w:tcPr>
          <w:p w14:paraId="1835DDF7">
            <w:pPr>
              <w:spacing w:after="0" w:line="276" w:lineRule="auto"/>
              <w:rPr>
                <w:rFonts w:ascii="Times New Roman" w:hAnsi="Times New Roman" w:cs="Times New Roman"/>
              </w:rPr>
            </w:pPr>
          </w:p>
        </w:tc>
        <w:tc>
          <w:tcPr>
            <w:tcW w:w="983" w:type="dxa"/>
            <w:tcBorders>
              <w:top w:val="nil"/>
              <w:left w:val="nil"/>
              <w:bottom w:val="nil"/>
              <w:right w:val="nil"/>
            </w:tcBorders>
          </w:tcPr>
          <w:p w14:paraId="6590FCC2">
            <w:pPr>
              <w:spacing w:after="0" w:line="276" w:lineRule="auto"/>
              <w:rPr>
                <w:rFonts w:ascii="Times New Roman" w:hAnsi="Times New Roman" w:cs="Times New Roman"/>
              </w:rPr>
            </w:pPr>
          </w:p>
        </w:tc>
        <w:tc>
          <w:tcPr>
            <w:tcW w:w="845" w:type="dxa"/>
            <w:tcBorders>
              <w:top w:val="nil"/>
              <w:left w:val="nil"/>
              <w:bottom w:val="nil"/>
              <w:right w:val="nil"/>
            </w:tcBorders>
          </w:tcPr>
          <w:p w14:paraId="063D88E1">
            <w:pPr>
              <w:spacing w:after="0" w:line="276" w:lineRule="auto"/>
              <w:rPr>
                <w:rFonts w:ascii="Times New Roman" w:hAnsi="Times New Roman" w:cs="Times New Roman"/>
              </w:rPr>
            </w:pPr>
          </w:p>
        </w:tc>
        <w:tc>
          <w:tcPr>
            <w:tcW w:w="770" w:type="dxa"/>
            <w:tcBorders>
              <w:top w:val="nil"/>
              <w:left w:val="nil"/>
              <w:bottom w:val="nil"/>
              <w:right w:val="nil"/>
            </w:tcBorders>
          </w:tcPr>
          <w:p w14:paraId="01B8D085">
            <w:pPr>
              <w:spacing w:after="0" w:line="276" w:lineRule="auto"/>
              <w:rPr>
                <w:rFonts w:ascii="Times New Roman" w:hAnsi="Times New Roman" w:cs="Times New Roman"/>
              </w:rPr>
            </w:pPr>
          </w:p>
        </w:tc>
      </w:tr>
      <w:tr w14:paraId="47057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B0419FF">
            <w:pPr>
              <w:spacing w:after="0" w:line="276" w:lineRule="auto"/>
              <w:rPr>
                <w:rFonts w:ascii="Times New Roman" w:hAnsi="Times New Roman" w:cs="Times New Roman"/>
                <w:b/>
                <w:i/>
              </w:rPr>
            </w:pPr>
          </w:p>
        </w:tc>
        <w:tc>
          <w:tcPr>
            <w:tcW w:w="2014" w:type="dxa"/>
          </w:tcPr>
          <w:p w14:paraId="77662360">
            <w:pPr>
              <w:pStyle w:val="86"/>
              <w:spacing w:after="0" w:line="276" w:lineRule="auto"/>
              <w:rPr>
                <w:rFonts w:ascii="Times New Roman" w:hAnsi="Times New Roman" w:cs="Times New Roman"/>
                <w:b/>
                <w:i/>
              </w:rPr>
            </w:pPr>
            <w:r>
              <w:t>Locul de amplasare</w:t>
            </w:r>
          </w:p>
        </w:tc>
        <w:tc>
          <w:tcPr>
            <w:tcW w:w="6957" w:type="dxa"/>
            <w:gridSpan w:val="6"/>
            <w:tcBorders>
              <w:right w:val="single" w:color="auto" w:sz="4" w:space="0"/>
            </w:tcBorders>
            <w:shd w:val="clear" w:color="auto" w:fill="FFFFFF" w:themeFill="background1"/>
          </w:tcPr>
          <w:p w14:paraId="24680E9E">
            <w:pPr>
              <w:pStyle w:val="87"/>
              <w:spacing w:after="0" w:line="276" w:lineRule="auto"/>
              <w:rPr>
                <w:rFonts w:ascii="Times New Roman" w:hAnsi="Times New Roman" w:cs="Times New Roman"/>
                <w:shd w:val="clear" w:color="auto" w:fill="FFFFFF"/>
              </w:rPr>
            </w:pPr>
            <w:r>
              <w:t>Spațiile APL Giurgiulești</w:t>
            </w:r>
          </w:p>
        </w:tc>
      </w:tr>
      <w:tr w14:paraId="1A9E7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37AE410C">
            <w:pPr>
              <w:spacing w:after="0" w:line="276" w:lineRule="auto"/>
              <w:rPr>
                <w:rFonts w:ascii="Times New Roman" w:hAnsi="Times New Roman" w:cs="Times New Roman"/>
                <w:b/>
                <w:i/>
              </w:rPr>
            </w:pPr>
          </w:p>
        </w:tc>
        <w:tc>
          <w:tcPr>
            <w:tcW w:w="2014" w:type="dxa"/>
          </w:tcPr>
          <w:p w14:paraId="330242C0">
            <w:pPr>
              <w:pStyle w:val="86"/>
              <w:spacing w:after="0" w:line="276" w:lineRule="auto"/>
              <w:rPr>
                <w:rFonts w:ascii="Times New Roman" w:hAnsi="Times New Roman" w:cs="Times New Roman"/>
                <w:b/>
                <w:i/>
              </w:rPr>
            </w:pPr>
            <w:r>
              <w:t>Consultanți/moderatori</w:t>
            </w:r>
          </w:p>
        </w:tc>
        <w:tc>
          <w:tcPr>
            <w:tcW w:w="6957" w:type="dxa"/>
            <w:gridSpan w:val="6"/>
          </w:tcPr>
          <w:p w14:paraId="78C78DF9">
            <w:pPr>
              <w:pStyle w:val="59"/>
              <w:spacing w:after="0" w:line="276" w:lineRule="auto"/>
              <w:rPr>
                <w:rFonts w:ascii="Times New Roman" w:hAnsi="Times New Roman" w:cs="Times New Roman"/>
              </w:rPr>
            </w:pPr>
            <w:r>
              <w:t>Veaceslav Vladicescu</w:t>
            </w:r>
          </w:p>
        </w:tc>
      </w:tr>
      <w:tr w14:paraId="2BF3D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CF78274">
            <w:pPr>
              <w:spacing w:after="0" w:line="276" w:lineRule="auto"/>
              <w:rPr>
                <w:rFonts w:ascii="Times New Roman" w:hAnsi="Times New Roman" w:cs="Times New Roman"/>
                <w:b/>
                <w:i/>
              </w:rPr>
            </w:pPr>
          </w:p>
        </w:tc>
        <w:tc>
          <w:tcPr>
            <w:tcW w:w="2014" w:type="dxa"/>
          </w:tcPr>
          <w:p w14:paraId="4E5483FE">
            <w:pPr>
              <w:pStyle w:val="86"/>
              <w:spacing w:after="0" w:line="276" w:lineRule="auto"/>
              <w:rPr>
                <w:rFonts w:ascii="Times New Roman" w:hAnsi="Times New Roman" w:cs="Times New Roman"/>
                <w:b/>
                <w:i/>
              </w:rPr>
            </w:pPr>
            <w:r>
              <w:t>Numărul de participanți</w:t>
            </w:r>
          </w:p>
        </w:tc>
        <w:tc>
          <w:tcPr>
            <w:tcW w:w="6957" w:type="dxa"/>
            <w:gridSpan w:val="6"/>
            <w:tcBorders>
              <w:right w:val="single" w:color="auto" w:sz="4" w:space="0"/>
            </w:tcBorders>
          </w:tcPr>
          <w:p w14:paraId="1B5877AD">
            <w:pPr>
              <w:pStyle w:val="57"/>
              <w:spacing w:after="0" w:line="276" w:lineRule="auto"/>
              <w:rPr>
                <w:rFonts w:ascii="Times New Roman" w:hAnsi="Times New Roman" w:cs="Times New Roman"/>
              </w:rPr>
            </w:pPr>
            <w:r>
              <w:t>29</w:t>
            </w:r>
          </w:p>
        </w:tc>
      </w:tr>
      <w:tr w14:paraId="3C571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49F376B">
            <w:pPr>
              <w:spacing w:after="0" w:line="276" w:lineRule="auto"/>
              <w:rPr>
                <w:rFonts w:ascii="Times New Roman" w:hAnsi="Times New Roman" w:cs="Times New Roman"/>
                <w:b/>
                <w:i/>
              </w:rPr>
            </w:pPr>
          </w:p>
        </w:tc>
        <w:tc>
          <w:tcPr>
            <w:tcW w:w="2014" w:type="dxa"/>
          </w:tcPr>
          <w:p w14:paraId="2B1DEF9F">
            <w:pPr>
              <w:pStyle w:val="86"/>
              <w:spacing w:after="0" w:line="276" w:lineRule="auto"/>
              <w:rPr>
                <w:rFonts w:ascii="Times New Roman" w:hAnsi="Times New Roman" w:cs="Times New Roman"/>
                <w:b/>
                <w:i/>
              </w:rPr>
            </w:pPr>
            <w:r>
              <w:t>Subiecte prezentate de Consultant (inclusiv PPT)</w:t>
            </w:r>
          </w:p>
        </w:tc>
        <w:tc>
          <w:tcPr>
            <w:tcW w:w="6957" w:type="dxa"/>
            <w:gridSpan w:val="6"/>
          </w:tcPr>
          <w:p w14:paraId="367E61E2">
            <w:pPr>
              <w:pStyle w:val="73"/>
              <w:numPr>
                <w:ilvl w:val="0"/>
                <w:numId w:val="39"/>
              </w:numPr>
              <w:spacing w:after="0" w:line="276" w:lineRule="auto"/>
              <w:ind w:left="327" w:hanging="251"/>
              <w:rPr>
                <w:rFonts w:ascii="Times New Roman" w:hAnsi="Times New Roman" w:cs="Times New Roman"/>
              </w:rPr>
            </w:pPr>
            <w:r>
              <w:t>Informații generale despre scopul documentației pachetului E&amp;S (SEP, RPF, LMP, ESIA preliminară)</w:t>
            </w:r>
          </w:p>
          <w:p w14:paraId="297DDAA4">
            <w:pPr>
              <w:pStyle w:val="73"/>
              <w:numPr>
                <w:ilvl w:val="0"/>
                <w:numId w:val="39"/>
              </w:numPr>
              <w:spacing w:after="0" w:line="276" w:lineRule="auto"/>
              <w:ind w:left="327" w:hanging="251"/>
              <w:rPr>
                <w:rFonts w:ascii="Times New Roman" w:hAnsi="Times New Roman" w:cs="Times New Roman"/>
              </w:rPr>
            </w:pPr>
            <w:r>
              <w:t xml:space="preserve">Informații generale despre proiectul propus </w:t>
            </w:r>
          </w:p>
          <w:p w14:paraId="5C39A09D">
            <w:pPr>
              <w:pStyle w:val="73"/>
              <w:numPr>
                <w:ilvl w:val="0"/>
                <w:numId w:val="39"/>
              </w:numPr>
              <w:spacing w:after="0" w:line="276" w:lineRule="auto"/>
              <w:ind w:left="327" w:hanging="251"/>
              <w:rPr>
                <w:rFonts w:ascii="Times New Roman" w:hAnsi="Times New Roman" w:cs="Times New Roman"/>
              </w:rPr>
            </w:pPr>
            <w:r>
              <w:t xml:space="preserve">Elemente cunoscute detaliate ale proiectului în zona localității </w:t>
            </w:r>
          </w:p>
          <w:p w14:paraId="29D39B7A">
            <w:pPr>
              <w:pStyle w:val="73"/>
              <w:numPr>
                <w:ilvl w:val="0"/>
                <w:numId w:val="39"/>
              </w:numPr>
              <w:spacing w:after="0" w:line="276" w:lineRule="auto"/>
              <w:ind w:left="327" w:hanging="251"/>
              <w:rPr>
                <w:rFonts w:ascii="Times New Roman" w:hAnsi="Times New Roman" w:cs="Times New Roman"/>
              </w:rPr>
            </w:pPr>
            <w:r>
              <w:t>Etapele următoare ale MRCP</w:t>
            </w:r>
          </w:p>
          <w:p w14:paraId="36005523">
            <w:pPr>
              <w:pStyle w:val="73"/>
              <w:numPr>
                <w:ilvl w:val="0"/>
                <w:numId w:val="39"/>
              </w:numPr>
              <w:spacing w:after="0" w:line="276" w:lineRule="auto"/>
              <w:ind w:left="327" w:hanging="251"/>
              <w:rPr>
                <w:rFonts w:ascii="Times New Roman" w:hAnsi="Times New Roman" w:cs="Times New Roman"/>
              </w:rPr>
            </w:pPr>
            <w:r>
              <w:t>Implicarea pozitivă a proiectului în comunitate prin intermediul cartelelor SIM</w:t>
            </w:r>
          </w:p>
          <w:p w14:paraId="45CEF3EF">
            <w:pPr>
              <w:pStyle w:val="73"/>
              <w:numPr>
                <w:ilvl w:val="0"/>
                <w:numId w:val="39"/>
              </w:numPr>
              <w:spacing w:after="0" w:line="276" w:lineRule="auto"/>
              <w:ind w:left="327" w:hanging="251"/>
              <w:rPr>
                <w:rFonts w:ascii="Times New Roman" w:hAnsi="Times New Roman" w:cs="Times New Roman"/>
              </w:rPr>
            </w:pPr>
            <w:r>
              <w:t xml:space="preserve">Impacturi posibile identificate specifice asupra mediului și a populației </w:t>
            </w:r>
          </w:p>
          <w:p w14:paraId="2F70F7F5">
            <w:pPr>
              <w:pStyle w:val="73"/>
              <w:numPr>
                <w:ilvl w:val="0"/>
                <w:numId w:val="39"/>
              </w:numPr>
              <w:spacing w:after="0" w:line="276" w:lineRule="auto"/>
              <w:ind w:left="327" w:hanging="251"/>
              <w:rPr>
                <w:rFonts w:ascii="Times New Roman" w:hAnsi="Times New Roman" w:cs="Times New Roman"/>
              </w:rPr>
            </w:pPr>
            <w:r>
              <w:t xml:space="preserve">Măsuri specifice de atenuare propuse. </w:t>
            </w:r>
          </w:p>
          <w:p w14:paraId="1BE54D92">
            <w:pPr>
              <w:pStyle w:val="73"/>
              <w:numPr>
                <w:ilvl w:val="0"/>
                <w:numId w:val="39"/>
              </w:numPr>
              <w:spacing w:after="0" w:line="276" w:lineRule="auto"/>
              <w:ind w:left="327" w:hanging="251"/>
              <w:rPr>
                <w:rFonts w:ascii="Times New Roman" w:hAnsi="Times New Roman" w:cs="Times New Roman"/>
              </w:rPr>
            </w:pPr>
            <w:r>
              <w:t>Mecanismul de reparare a reclamațiilor</w:t>
            </w:r>
          </w:p>
          <w:p w14:paraId="46DD8C2A">
            <w:pPr>
              <w:pStyle w:val="73"/>
              <w:numPr>
                <w:ilvl w:val="0"/>
                <w:numId w:val="39"/>
              </w:numPr>
              <w:spacing w:after="0" w:line="276" w:lineRule="auto"/>
              <w:ind w:left="327" w:hanging="251"/>
              <w:rPr>
                <w:rFonts w:ascii="Times New Roman" w:hAnsi="Times New Roman" w:cs="Times New Roman"/>
              </w:rPr>
            </w:pPr>
            <w:r>
              <w:t>Informații de contact ale părților interesate (SRA, MIRD, MCS, MF, BM)</w:t>
            </w:r>
          </w:p>
        </w:tc>
      </w:tr>
      <w:tr w14:paraId="48F1F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73CBAB7B">
            <w:pPr>
              <w:spacing w:after="0" w:line="276" w:lineRule="auto"/>
              <w:rPr>
                <w:rFonts w:ascii="Times New Roman" w:hAnsi="Times New Roman" w:cs="Times New Roman"/>
                <w:b/>
                <w:i/>
              </w:rPr>
            </w:pPr>
          </w:p>
        </w:tc>
        <w:tc>
          <w:tcPr>
            <w:tcW w:w="4686" w:type="dxa"/>
            <w:gridSpan w:val="3"/>
          </w:tcPr>
          <w:p w14:paraId="677E7B87">
            <w:pPr>
              <w:pStyle w:val="86"/>
              <w:spacing w:after="0" w:line="276" w:lineRule="auto"/>
              <w:rPr>
                <w:rFonts w:ascii="Times New Roman" w:hAnsi="Times New Roman" w:cs="Times New Roman"/>
                <w:b/>
                <w:i/>
              </w:rPr>
            </w:pPr>
            <w:r>
              <w:t>Întrebările adresate și/sau propunerile primite de la participanți:</w:t>
            </w:r>
          </w:p>
        </w:tc>
        <w:tc>
          <w:tcPr>
            <w:tcW w:w="4285" w:type="dxa"/>
            <w:gridSpan w:val="4"/>
          </w:tcPr>
          <w:p w14:paraId="7A55CEF8">
            <w:pPr>
              <w:pStyle w:val="86"/>
              <w:spacing w:after="0" w:line="276" w:lineRule="auto"/>
              <w:rPr>
                <w:rFonts w:ascii="Times New Roman" w:hAnsi="Times New Roman" w:cs="Times New Roman"/>
                <w:b/>
                <w:i/>
              </w:rPr>
            </w:pPr>
            <w:r>
              <w:t>Răspunsurile/comentariile moderatorilor/consultanților:</w:t>
            </w:r>
          </w:p>
        </w:tc>
      </w:tr>
      <w:tr w14:paraId="01EF9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051C6B4B">
            <w:pPr>
              <w:pStyle w:val="59"/>
              <w:spacing w:after="0" w:line="276" w:lineRule="auto"/>
              <w:jc w:val="both"/>
              <w:rPr>
                <w:rFonts w:ascii="Times New Roman" w:hAnsi="Times New Roman" w:cs="Times New Roman"/>
              </w:rPr>
            </w:pPr>
            <w:r>
              <w:t>1</w:t>
            </w:r>
          </w:p>
        </w:tc>
        <w:tc>
          <w:tcPr>
            <w:tcW w:w="4686" w:type="dxa"/>
            <w:gridSpan w:val="3"/>
          </w:tcPr>
          <w:p w14:paraId="2E4CBCC4">
            <w:pPr>
              <w:pStyle w:val="71"/>
              <w:spacing w:after="0" w:line="276" w:lineRule="auto"/>
              <w:jc w:val="both"/>
              <w:rPr>
                <w:rFonts w:ascii="Times New Roman" w:hAnsi="Times New Roman" w:cs="Times New Roman"/>
                <w:i/>
              </w:rPr>
            </w:pPr>
            <w:r>
              <w:t>Ce echipamente urmează să fie instalate pe platforma MCS?</w:t>
            </w:r>
          </w:p>
        </w:tc>
        <w:tc>
          <w:tcPr>
            <w:tcW w:w="4285" w:type="dxa"/>
            <w:gridSpan w:val="4"/>
          </w:tcPr>
          <w:p w14:paraId="50F27E99">
            <w:pPr>
              <w:pStyle w:val="59"/>
              <w:spacing w:after="0" w:line="276" w:lineRule="auto"/>
              <w:jc w:val="both"/>
              <w:rPr>
                <w:rFonts w:ascii="Times New Roman" w:hAnsi="Times New Roman" w:cs="Times New Roman"/>
              </w:rPr>
            </w:pPr>
            <w:r>
              <w:t xml:space="preserve">A furnizat lista exhaustivă a tipurilor de echipamente și lucrări care vor fi efectuate. Toate informațiile sunt cunoscute în acest moment. </w:t>
            </w:r>
          </w:p>
        </w:tc>
      </w:tr>
      <w:tr w14:paraId="51273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5F058EE9">
            <w:pPr>
              <w:pStyle w:val="59"/>
              <w:spacing w:after="0" w:line="276" w:lineRule="auto"/>
              <w:jc w:val="both"/>
              <w:rPr>
                <w:rFonts w:ascii="Times New Roman" w:hAnsi="Times New Roman" w:cs="Times New Roman"/>
              </w:rPr>
            </w:pPr>
            <w:r>
              <w:t>2</w:t>
            </w:r>
          </w:p>
        </w:tc>
        <w:tc>
          <w:tcPr>
            <w:tcW w:w="4686" w:type="dxa"/>
            <w:gridSpan w:val="3"/>
          </w:tcPr>
          <w:p w14:paraId="73487B60">
            <w:pPr>
              <w:pStyle w:val="71"/>
              <w:spacing w:after="0" w:line="276" w:lineRule="auto"/>
              <w:jc w:val="both"/>
              <w:rPr>
                <w:rFonts w:ascii="Times New Roman" w:hAnsi="Times New Roman" w:cs="Times New Roman"/>
                <w:i/>
              </w:rPr>
            </w:pPr>
            <w:r>
              <w:t xml:space="preserve">De ce nu este inclusă în acest proiect BM construcția șoselei de centură a satului Giurgiulești (conexiunea drumului R34 cu M3 cca. 4 km)?  </w:t>
            </w:r>
          </w:p>
        </w:tc>
        <w:tc>
          <w:tcPr>
            <w:tcW w:w="4285" w:type="dxa"/>
            <w:gridSpan w:val="4"/>
          </w:tcPr>
          <w:p w14:paraId="3EB216F3">
            <w:pPr>
              <w:pStyle w:val="59"/>
              <w:spacing w:after="0" w:line="276" w:lineRule="auto"/>
              <w:jc w:val="both"/>
              <w:rPr>
                <w:rFonts w:ascii="Times New Roman" w:hAnsi="Times New Roman" w:cs="Times New Roman"/>
              </w:rPr>
            </w:pPr>
            <w:r>
              <w:t xml:space="preserve">Acest drum de ocolire nu face obiectul acestui proiect. GM trebuie să decidă cu privire la aprobarea construcției respective și a surselor de finanțare. MRCP va acorda atenție infrastructurii asociate care poate împiedica sau contribui la orientarea domeniului de aplicare al proiectului către o mai bună conectivitate rurală și regională.  </w:t>
            </w:r>
          </w:p>
        </w:tc>
      </w:tr>
      <w:tr w14:paraId="6D0C5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67CA6578">
            <w:pPr>
              <w:pStyle w:val="59"/>
              <w:spacing w:after="0" w:line="276" w:lineRule="auto"/>
              <w:jc w:val="both"/>
              <w:rPr>
                <w:rFonts w:ascii="Times New Roman" w:hAnsi="Times New Roman" w:cs="Times New Roman"/>
              </w:rPr>
            </w:pPr>
            <w:r>
              <w:t>3</w:t>
            </w:r>
          </w:p>
        </w:tc>
        <w:tc>
          <w:tcPr>
            <w:tcW w:w="4686" w:type="dxa"/>
            <w:gridSpan w:val="3"/>
          </w:tcPr>
          <w:p w14:paraId="5AA3932B">
            <w:pPr>
              <w:pStyle w:val="71"/>
              <w:spacing w:after="0" w:line="276" w:lineRule="auto"/>
              <w:jc w:val="both"/>
              <w:rPr>
                <w:rFonts w:ascii="Times New Roman" w:hAnsi="Times New Roman" w:cs="Times New Roman"/>
                <w:i/>
              </w:rPr>
            </w:pPr>
            <w:r>
              <w:t>Daca drumurile locale, de pe teritoriul Giurgiulestiului, vor fi folosite de camioane si utilaje grele, insistam ca drumurile locale afectate de tranzitul camioanelor sa fie reabilitate corespunzator.</w:t>
            </w:r>
          </w:p>
        </w:tc>
        <w:tc>
          <w:tcPr>
            <w:tcW w:w="4285" w:type="dxa"/>
            <w:gridSpan w:val="4"/>
          </w:tcPr>
          <w:p w14:paraId="5051CC03">
            <w:pPr>
              <w:pStyle w:val="59"/>
              <w:spacing w:after="0" w:line="276" w:lineRule="auto"/>
              <w:jc w:val="both"/>
              <w:rPr>
                <w:rFonts w:ascii="Times New Roman" w:hAnsi="Times New Roman" w:cs="Times New Roman"/>
              </w:rPr>
            </w:pPr>
            <w:r>
              <w:t xml:space="preserve">Da, poate fi posibil. Dar utilizarea drumurilor locale pentru transportul materialelor și tranzit este supusă aprobării inginerului și administrației publice locale. administrația publică locală poate stabili condiții de reabilitare după utilizarea drumurilor locale la starea lor inițială, poate limita timpii de acces și poate interzice accesul pe anumite străzi. </w:t>
            </w:r>
          </w:p>
        </w:tc>
      </w:tr>
      <w:tr w14:paraId="50DC2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0E8FD63E">
            <w:pPr>
              <w:pStyle w:val="59"/>
              <w:spacing w:after="0" w:line="276" w:lineRule="auto"/>
              <w:jc w:val="both"/>
              <w:rPr>
                <w:rFonts w:ascii="Times New Roman" w:hAnsi="Times New Roman" w:cs="Times New Roman"/>
              </w:rPr>
            </w:pPr>
            <w:r>
              <w:t>4</w:t>
            </w:r>
          </w:p>
        </w:tc>
        <w:tc>
          <w:tcPr>
            <w:tcW w:w="4686" w:type="dxa"/>
            <w:gridSpan w:val="3"/>
          </w:tcPr>
          <w:p w14:paraId="3F1ABD33">
            <w:pPr>
              <w:pStyle w:val="71"/>
              <w:spacing w:after="0" w:line="276" w:lineRule="auto"/>
              <w:jc w:val="both"/>
              <w:rPr>
                <w:rFonts w:ascii="Times New Roman" w:hAnsi="Times New Roman" w:cs="Times New Roman"/>
                <w:i/>
              </w:rPr>
            </w:pPr>
            <w:r>
              <w:t xml:space="preserve">Încurajăm accelerarea construcției șoselei de centură a satului și, în plus, examinarea drumului care duce la port ca variantă de drum pentru accesul vamal la PTF. Care va fi lățimea drumului de bypass? </w:t>
            </w:r>
          </w:p>
        </w:tc>
        <w:tc>
          <w:tcPr>
            <w:tcW w:w="4285" w:type="dxa"/>
            <w:gridSpan w:val="4"/>
          </w:tcPr>
          <w:p w14:paraId="7FD91B99">
            <w:pPr>
              <w:pStyle w:val="59"/>
              <w:spacing w:after="0" w:line="276" w:lineRule="auto"/>
              <w:jc w:val="both"/>
              <w:rPr>
                <w:rFonts w:ascii="Times New Roman" w:hAnsi="Times New Roman" w:cs="Times New Roman"/>
              </w:rPr>
            </w:pPr>
            <w:r>
              <w:t xml:space="preserve">Acest drum de ocolire nu face obiectul acestui proiect. Va fi, probabil, 2 benzi (7 m de cale ferată). GM trebuie să decidă cu privire la aprobarea construcției respective și a surselor de finanțare. MRCP va acorda atenție infrastructurii asociate care poate împiedica sau contribui la orientarea domeniului de aplicare al proiectului către o mai bună conectivitate rurală și regională.  </w:t>
            </w:r>
          </w:p>
          <w:p w14:paraId="4704C720">
            <w:pPr>
              <w:spacing w:after="0" w:line="276" w:lineRule="auto"/>
              <w:jc w:val="both"/>
              <w:rPr>
                <w:rFonts w:ascii="Times New Roman" w:hAnsi="Times New Roman" w:cs="Times New Roman"/>
              </w:rPr>
            </w:pPr>
          </w:p>
          <w:p w14:paraId="1D57EAEC">
            <w:pPr>
              <w:pStyle w:val="59"/>
              <w:spacing w:after="0" w:line="276" w:lineRule="auto"/>
              <w:jc w:val="both"/>
              <w:rPr>
                <w:rFonts w:ascii="Times New Roman" w:hAnsi="Times New Roman" w:cs="Times New Roman"/>
              </w:rPr>
            </w:pPr>
            <w:r>
              <w:t xml:space="preserve">Drumul care duce spre portul de lângă Prut trece podul peste Prut în legătură cu România. Poate fi dificil să folosiți acest drum pentru a ocoli satul și a merge la PTF. Lăsați FS să ia în considerare aceste opțiuni dacă vor fi acceptate. </w:t>
            </w:r>
          </w:p>
        </w:tc>
      </w:tr>
      <w:tr w14:paraId="56AFA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27D69966">
            <w:pPr>
              <w:spacing w:after="0" w:line="276" w:lineRule="auto"/>
              <w:jc w:val="both"/>
              <w:rPr>
                <w:rFonts w:ascii="Times New Roman" w:hAnsi="Times New Roman" w:cs="Times New Roman"/>
                <w:b/>
                <w:bCs/>
              </w:rPr>
            </w:pPr>
          </w:p>
        </w:tc>
        <w:tc>
          <w:tcPr>
            <w:tcW w:w="4686" w:type="dxa"/>
            <w:gridSpan w:val="3"/>
          </w:tcPr>
          <w:p w14:paraId="6EC7B6EB">
            <w:pPr>
              <w:pStyle w:val="86"/>
              <w:spacing w:after="0" w:line="276" w:lineRule="auto"/>
              <w:jc w:val="both"/>
              <w:rPr>
                <w:rFonts w:ascii="Times New Roman" w:hAnsi="Times New Roman" w:cs="Times New Roman"/>
                <w:b/>
                <w:bCs/>
                <w:i/>
              </w:rPr>
            </w:pPr>
            <w:r>
              <w:t xml:space="preserve">Concluzie </w:t>
            </w:r>
          </w:p>
        </w:tc>
        <w:tc>
          <w:tcPr>
            <w:tcW w:w="4285" w:type="dxa"/>
            <w:gridSpan w:val="4"/>
          </w:tcPr>
          <w:p w14:paraId="7EC13F8A">
            <w:pPr>
              <w:pStyle w:val="57"/>
              <w:spacing w:after="0" w:line="276" w:lineRule="auto"/>
              <w:jc w:val="both"/>
              <w:rPr>
                <w:rFonts w:ascii="Times New Roman" w:hAnsi="Times New Roman" w:cs="Times New Roman"/>
                <w:b/>
                <w:bCs/>
              </w:rPr>
            </w:pPr>
            <w:r>
              <w:t xml:space="preserve">Proiectul are o bună acceptare. </w:t>
            </w:r>
          </w:p>
        </w:tc>
      </w:tr>
    </w:tbl>
    <w:p w14:paraId="09133CB8">
      <w:pPr>
        <w:autoSpaceDE w:val="0"/>
        <w:autoSpaceDN w:val="0"/>
        <w:adjustRightInd w:val="0"/>
        <w:spacing w:after="0" w:line="276" w:lineRule="auto"/>
        <w:jc w:val="both"/>
        <w:rPr>
          <w:rFonts w:ascii="Times New Roman" w:hAnsi="Times New Roman" w:cs="Times New Roman"/>
          <w:color w:val="000000"/>
        </w:rPr>
      </w:pPr>
    </w:p>
    <w:p w14:paraId="7F648638">
      <w:pPr>
        <w:autoSpaceDE w:val="0"/>
        <w:autoSpaceDN w:val="0"/>
        <w:adjustRightInd w:val="0"/>
        <w:spacing w:after="0" w:line="276" w:lineRule="auto"/>
        <w:jc w:val="both"/>
        <w:rPr>
          <w:rFonts w:ascii="Times New Roman" w:hAnsi="Times New Roman" w:cs="Times New Roman"/>
          <w:color w:val="000000"/>
        </w:rPr>
      </w:pPr>
    </w:p>
    <w:p w14:paraId="1B4082CA">
      <w:pPr>
        <w:pStyle w:val="57"/>
        <w:spacing w:line="276" w:lineRule="auto"/>
        <w:jc w:val="center"/>
        <w:rPr>
          <w:rFonts w:ascii="Times New Roman" w:hAnsi="Times New Roman" w:cs="Times New Roman"/>
          <w:b/>
        </w:rPr>
      </w:pPr>
      <w:r>
        <w:t>Procesul-verbal al reuniunii</w:t>
      </w:r>
    </w:p>
    <w:p w14:paraId="14E6327D">
      <w:pPr>
        <w:pStyle w:val="57"/>
        <w:spacing w:line="276" w:lineRule="auto"/>
        <w:jc w:val="center"/>
        <w:rPr>
          <w:rFonts w:ascii="Times New Roman" w:hAnsi="Times New Roman" w:cs="Times New Roman"/>
          <w:b/>
        </w:rPr>
      </w:pPr>
      <w:r>
        <w:t xml:space="preserve">Consultări publice pentru </w:t>
      </w:r>
    </w:p>
    <w:p w14:paraId="5E2B943D">
      <w:pPr>
        <w:pStyle w:val="57"/>
        <w:spacing w:line="276" w:lineRule="auto"/>
        <w:jc w:val="center"/>
        <w:rPr>
          <w:rFonts w:ascii="Times New Roman" w:hAnsi="Times New Roman" w:cs="Times New Roman"/>
          <w:b/>
        </w:rPr>
      </w:pPr>
      <w:r>
        <w:t xml:space="preserve">Platforma Giurgiulești </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6"/>
        <w:gridCol w:w="2344"/>
        <w:gridCol w:w="2234"/>
        <w:gridCol w:w="390"/>
        <w:gridCol w:w="1659"/>
        <w:gridCol w:w="972"/>
        <w:gridCol w:w="837"/>
        <w:gridCol w:w="764"/>
      </w:tblGrid>
      <w:tr w14:paraId="23F43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8E2D628">
            <w:pPr>
              <w:spacing w:after="0" w:line="276" w:lineRule="auto"/>
              <w:rPr>
                <w:rFonts w:ascii="Times New Roman" w:hAnsi="Times New Roman" w:cs="Times New Roman"/>
                <w:b/>
                <w:i/>
              </w:rPr>
            </w:pPr>
          </w:p>
        </w:tc>
        <w:tc>
          <w:tcPr>
            <w:tcW w:w="2014" w:type="dxa"/>
          </w:tcPr>
          <w:p w14:paraId="413E88E2">
            <w:pPr>
              <w:pStyle w:val="86"/>
              <w:spacing w:after="0" w:line="276" w:lineRule="auto"/>
              <w:rPr>
                <w:rFonts w:ascii="Times New Roman" w:hAnsi="Times New Roman" w:cs="Times New Roman"/>
                <w:b/>
                <w:i/>
              </w:rPr>
            </w:pPr>
            <w:r>
              <w:t xml:space="preserve">Data </w:t>
            </w:r>
          </w:p>
        </w:tc>
        <w:tc>
          <w:tcPr>
            <w:tcW w:w="2275" w:type="dxa"/>
            <w:tcBorders>
              <w:right w:val="single" w:color="auto" w:sz="4" w:space="0"/>
            </w:tcBorders>
          </w:tcPr>
          <w:p w14:paraId="17162377">
            <w:pPr>
              <w:pStyle w:val="59"/>
              <w:spacing w:after="0" w:line="276" w:lineRule="auto"/>
              <w:rPr>
                <w:rFonts w:ascii="Times New Roman" w:hAnsi="Times New Roman" w:cs="Times New Roman"/>
              </w:rPr>
            </w:pPr>
            <w:r>
              <w:t>02.04.2025</w:t>
            </w:r>
          </w:p>
        </w:tc>
        <w:tc>
          <w:tcPr>
            <w:tcW w:w="397" w:type="dxa"/>
            <w:tcBorders>
              <w:top w:val="nil"/>
              <w:left w:val="single" w:color="auto" w:sz="4" w:space="0"/>
              <w:bottom w:val="nil"/>
              <w:right w:val="nil"/>
            </w:tcBorders>
          </w:tcPr>
          <w:p w14:paraId="475B4C25">
            <w:pPr>
              <w:spacing w:after="0" w:line="276" w:lineRule="auto"/>
              <w:rPr>
                <w:rFonts w:ascii="Times New Roman" w:hAnsi="Times New Roman" w:cs="Times New Roman"/>
              </w:rPr>
            </w:pPr>
          </w:p>
        </w:tc>
        <w:tc>
          <w:tcPr>
            <w:tcW w:w="1687" w:type="dxa"/>
            <w:tcBorders>
              <w:top w:val="nil"/>
              <w:left w:val="nil"/>
              <w:bottom w:val="nil"/>
              <w:right w:val="nil"/>
            </w:tcBorders>
          </w:tcPr>
          <w:p w14:paraId="1484FEF6">
            <w:pPr>
              <w:spacing w:after="0" w:line="276" w:lineRule="auto"/>
              <w:rPr>
                <w:rFonts w:ascii="Times New Roman" w:hAnsi="Times New Roman" w:cs="Times New Roman"/>
              </w:rPr>
            </w:pPr>
          </w:p>
        </w:tc>
        <w:tc>
          <w:tcPr>
            <w:tcW w:w="983" w:type="dxa"/>
            <w:tcBorders>
              <w:top w:val="nil"/>
              <w:left w:val="nil"/>
              <w:bottom w:val="nil"/>
              <w:right w:val="nil"/>
            </w:tcBorders>
          </w:tcPr>
          <w:p w14:paraId="4D35DCD6">
            <w:pPr>
              <w:spacing w:after="0" w:line="276" w:lineRule="auto"/>
              <w:rPr>
                <w:rFonts w:ascii="Times New Roman" w:hAnsi="Times New Roman" w:cs="Times New Roman"/>
              </w:rPr>
            </w:pPr>
          </w:p>
        </w:tc>
        <w:tc>
          <w:tcPr>
            <w:tcW w:w="845" w:type="dxa"/>
            <w:tcBorders>
              <w:top w:val="nil"/>
              <w:left w:val="nil"/>
              <w:bottom w:val="nil"/>
              <w:right w:val="nil"/>
            </w:tcBorders>
          </w:tcPr>
          <w:p w14:paraId="2665E3CC">
            <w:pPr>
              <w:spacing w:after="0" w:line="276" w:lineRule="auto"/>
              <w:rPr>
                <w:rFonts w:ascii="Times New Roman" w:hAnsi="Times New Roman" w:cs="Times New Roman"/>
              </w:rPr>
            </w:pPr>
          </w:p>
        </w:tc>
        <w:tc>
          <w:tcPr>
            <w:tcW w:w="770" w:type="dxa"/>
            <w:tcBorders>
              <w:top w:val="nil"/>
              <w:left w:val="nil"/>
              <w:bottom w:val="nil"/>
              <w:right w:val="nil"/>
            </w:tcBorders>
          </w:tcPr>
          <w:p w14:paraId="2DE0CBB9">
            <w:pPr>
              <w:spacing w:after="0" w:line="276" w:lineRule="auto"/>
              <w:rPr>
                <w:rFonts w:ascii="Times New Roman" w:hAnsi="Times New Roman" w:cs="Times New Roman"/>
              </w:rPr>
            </w:pPr>
          </w:p>
        </w:tc>
      </w:tr>
      <w:tr w14:paraId="1890C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6BFCEA8F">
            <w:pPr>
              <w:spacing w:after="0" w:line="276" w:lineRule="auto"/>
              <w:rPr>
                <w:rFonts w:ascii="Times New Roman" w:hAnsi="Times New Roman" w:cs="Times New Roman"/>
                <w:b/>
                <w:i/>
              </w:rPr>
            </w:pPr>
          </w:p>
        </w:tc>
        <w:tc>
          <w:tcPr>
            <w:tcW w:w="2014" w:type="dxa"/>
          </w:tcPr>
          <w:p w14:paraId="60BF637D">
            <w:pPr>
              <w:pStyle w:val="86"/>
              <w:spacing w:after="0" w:line="276" w:lineRule="auto"/>
              <w:rPr>
                <w:rFonts w:ascii="Times New Roman" w:hAnsi="Times New Roman" w:cs="Times New Roman"/>
                <w:b/>
                <w:i/>
              </w:rPr>
            </w:pPr>
            <w:r>
              <w:t>Timp</w:t>
            </w:r>
          </w:p>
        </w:tc>
        <w:tc>
          <w:tcPr>
            <w:tcW w:w="2275" w:type="dxa"/>
            <w:tcBorders>
              <w:right w:val="single" w:color="auto" w:sz="4" w:space="0"/>
            </w:tcBorders>
          </w:tcPr>
          <w:p w14:paraId="29588FD9">
            <w:pPr>
              <w:pStyle w:val="59"/>
              <w:spacing w:after="0" w:line="276" w:lineRule="auto"/>
              <w:rPr>
                <w:rFonts w:ascii="Times New Roman" w:hAnsi="Times New Roman" w:cs="Times New Roman"/>
              </w:rPr>
            </w:pPr>
            <w:r>
              <w:t>11.20-12.30</w:t>
            </w:r>
          </w:p>
        </w:tc>
        <w:tc>
          <w:tcPr>
            <w:tcW w:w="397" w:type="dxa"/>
            <w:tcBorders>
              <w:top w:val="nil"/>
              <w:left w:val="single" w:color="auto" w:sz="4" w:space="0"/>
              <w:bottom w:val="nil"/>
              <w:right w:val="nil"/>
            </w:tcBorders>
          </w:tcPr>
          <w:p w14:paraId="45933EB7">
            <w:pPr>
              <w:spacing w:after="0" w:line="276" w:lineRule="auto"/>
              <w:rPr>
                <w:rFonts w:ascii="Times New Roman" w:hAnsi="Times New Roman" w:cs="Times New Roman"/>
              </w:rPr>
            </w:pPr>
          </w:p>
        </w:tc>
        <w:tc>
          <w:tcPr>
            <w:tcW w:w="1687" w:type="dxa"/>
            <w:tcBorders>
              <w:top w:val="nil"/>
              <w:left w:val="nil"/>
              <w:bottom w:val="nil"/>
              <w:right w:val="nil"/>
            </w:tcBorders>
          </w:tcPr>
          <w:p w14:paraId="3CD9C5E0">
            <w:pPr>
              <w:spacing w:after="0" w:line="276" w:lineRule="auto"/>
              <w:rPr>
                <w:rFonts w:ascii="Times New Roman" w:hAnsi="Times New Roman" w:cs="Times New Roman"/>
              </w:rPr>
            </w:pPr>
          </w:p>
        </w:tc>
        <w:tc>
          <w:tcPr>
            <w:tcW w:w="983" w:type="dxa"/>
            <w:tcBorders>
              <w:top w:val="nil"/>
              <w:left w:val="nil"/>
              <w:bottom w:val="nil"/>
              <w:right w:val="nil"/>
            </w:tcBorders>
          </w:tcPr>
          <w:p w14:paraId="09890296">
            <w:pPr>
              <w:spacing w:after="0" w:line="276" w:lineRule="auto"/>
              <w:rPr>
                <w:rFonts w:ascii="Times New Roman" w:hAnsi="Times New Roman" w:cs="Times New Roman"/>
              </w:rPr>
            </w:pPr>
          </w:p>
        </w:tc>
        <w:tc>
          <w:tcPr>
            <w:tcW w:w="845" w:type="dxa"/>
            <w:tcBorders>
              <w:top w:val="nil"/>
              <w:left w:val="nil"/>
              <w:bottom w:val="nil"/>
              <w:right w:val="nil"/>
            </w:tcBorders>
          </w:tcPr>
          <w:p w14:paraId="6834F0A8">
            <w:pPr>
              <w:spacing w:after="0" w:line="276" w:lineRule="auto"/>
              <w:rPr>
                <w:rFonts w:ascii="Times New Roman" w:hAnsi="Times New Roman" w:cs="Times New Roman"/>
              </w:rPr>
            </w:pPr>
          </w:p>
        </w:tc>
        <w:tc>
          <w:tcPr>
            <w:tcW w:w="770" w:type="dxa"/>
            <w:tcBorders>
              <w:top w:val="nil"/>
              <w:left w:val="nil"/>
              <w:bottom w:val="nil"/>
              <w:right w:val="nil"/>
            </w:tcBorders>
          </w:tcPr>
          <w:p w14:paraId="520157C3">
            <w:pPr>
              <w:spacing w:after="0" w:line="276" w:lineRule="auto"/>
              <w:rPr>
                <w:rFonts w:ascii="Times New Roman" w:hAnsi="Times New Roman" w:cs="Times New Roman"/>
              </w:rPr>
            </w:pPr>
          </w:p>
        </w:tc>
      </w:tr>
      <w:tr w14:paraId="3EB64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046BDAF8">
            <w:pPr>
              <w:spacing w:after="0" w:line="276" w:lineRule="auto"/>
              <w:rPr>
                <w:rFonts w:ascii="Times New Roman" w:hAnsi="Times New Roman" w:cs="Times New Roman"/>
                <w:b/>
                <w:i/>
              </w:rPr>
            </w:pPr>
          </w:p>
        </w:tc>
        <w:tc>
          <w:tcPr>
            <w:tcW w:w="2014" w:type="dxa"/>
          </w:tcPr>
          <w:p w14:paraId="38BC0EF9">
            <w:pPr>
              <w:pStyle w:val="86"/>
              <w:spacing w:after="0" w:line="276" w:lineRule="auto"/>
              <w:rPr>
                <w:rFonts w:ascii="Times New Roman" w:hAnsi="Times New Roman" w:cs="Times New Roman"/>
                <w:b/>
                <w:i/>
              </w:rPr>
            </w:pPr>
            <w:r>
              <w:t>Locul de amplasare</w:t>
            </w:r>
          </w:p>
        </w:tc>
        <w:tc>
          <w:tcPr>
            <w:tcW w:w="6957" w:type="dxa"/>
            <w:gridSpan w:val="6"/>
            <w:tcBorders>
              <w:right w:val="single" w:color="auto" w:sz="4" w:space="0"/>
            </w:tcBorders>
            <w:shd w:val="clear" w:color="auto" w:fill="FFFFFF" w:themeFill="background1"/>
          </w:tcPr>
          <w:p w14:paraId="219726BF">
            <w:pPr>
              <w:pStyle w:val="87"/>
              <w:spacing w:after="0" w:line="276" w:lineRule="auto"/>
              <w:rPr>
                <w:rFonts w:ascii="Times New Roman" w:hAnsi="Times New Roman" w:cs="Times New Roman"/>
                <w:shd w:val="clear" w:color="auto" w:fill="FFFFFF"/>
              </w:rPr>
            </w:pPr>
            <w:r>
              <w:t>Spațiile APL Giurgiulești</w:t>
            </w:r>
          </w:p>
        </w:tc>
      </w:tr>
      <w:tr w14:paraId="190E0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70F717D4">
            <w:pPr>
              <w:spacing w:after="0" w:line="276" w:lineRule="auto"/>
              <w:rPr>
                <w:rFonts w:ascii="Times New Roman" w:hAnsi="Times New Roman" w:cs="Times New Roman"/>
                <w:b/>
                <w:i/>
              </w:rPr>
            </w:pPr>
          </w:p>
        </w:tc>
        <w:tc>
          <w:tcPr>
            <w:tcW w:w="2014" w:type="dxa"/>
          </w:tcPr>
          <w:p w14:paraId="525A07F1">
            <w:pPr>
              <w:pStyle w:val="86"/>
              <w:spacing w:after="0" w:line="276" w:lineRule="auto"/>
              <w:rPr>
                <w:rFonts w:ascii="Times New Roman" w:hAnsi="Times New Roman" w:cs="Times New Roman"/>
                <w:b/>
                <w:i/>
              </w:rPr>
            </w:pPr>
            <w:r>
              <w:t>Consultanți/moderatori</w:t>
            </w:r>
          </w:p>
        </w:tc>
        <w:tc>
          <w:tcPr>
            <w:tcW w:w="6957" w:type="dxa"/>
            <w:gridSpan w:val="6"/>
          </w:tcPr>
          <w:p w14:paraId="62EF7FFE">
            <w:pPr>
              <w:pStyle w:val="59"/>
              <w:spacing w:after="0" w:line="276" w:lineRule="auto"/>
              <w:rPr>
                <w:rFonts w:ascii="Times New Roman" w:hAnsi="Times New Roman" w:cs="Times New Roman"/>
              </w:rPr>
            </w:pPr>
            <w:r>
              <w:t>Veaceslav Vladicescu / Tatiana Trofimov</w:t>
            </w:r>
          </w:p>
        </w:tc>
      </w:tr>
      <w:tr w14:paraId="5008B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AF484E3">
            <w:pPr>
              <w:spacing w:after="0" w:line="276" w:lineRule="auto"/>
              <w:rPr>
                <w:rFonts w:ascii="Times New Roman" w:hAnsi="Times New Roman" w:cs="Times New Roman"/>
                <w:b/>
                <w:i/>
              </w:rPr>
            </w:pPr>
          </w:p>
        </w:tc>
        <w:tc>
          <w:tcPr>
            <w:tcW w:w="2014" w:type="dxa"/>
          </w:tcPr>
          <w:p w14:paraId="219AE111">
            <w:pPr>
              <w:pStyle w:val="86"/>
              <w:spacing w:after="0" w:line="276" w:lineRule="auto"/>
              <w:rPr>
                <w:rFonts w:ascii="Times New Roman" w:hAnsi="Times New Roman" w:cs="Times New Roman"/>
                <w:b/>
                <w:i/>
              </w:rPr>
            </w:pPr>
            <w:r>
              <w:t>Numărul de participanți</w:t>
            </w:r>
          </w:p>
        </w:tc>
        <w:tc>
          <w:tcPr>
            <w:tcW w:w="6957" w:type="dxa"/>
            <w:gridSpan w:val="6"/>
            <w:tcBorders>
              <w:right w:val="single" w:color="auto" w:sz="4" w:space="0"/>
            </w:tcBorders>
          </w:tcPr>
          <w:p w14:paraId="4DB91288">
            <w:pPr>
              <w:pStyle w:val="57"/>
              <w:spacing w:after="0" w:line="276" w:lineRule="auto"/>
              <w:rPr>
                <w:rFonts w:ascii="Times New Roman" w:hAnsi="Times New Roman" w:cs="Times New Roman"/>
              </w:rPr>
            </w:pPr>
            <w:r>
              <w:t>16 (MCS, Poliția de Frontieră, Poliția Locală, APL, Portul Internațional Liber Giurgiulești)</w:t>
            </w:r>
          </w:p>
        </w:tc>
      </w:tr>
      <w:tr w14:paraId="11364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7A83FF11">
            <w:pPr>
              <w:spacing w:after="0" w:line="276" w:lineRule="auto"/>
              <w:rPr>
                <w:rFonts w:ascii="Times New Roman" w:hAnsi="Times New Roman" w:cs="Times New Roman"/>
                <w:b/>
                <w:i/>
              </w:rPr>
            </w:pPr>
          </w:p>
        </w:tc>
        <w:tc>
          <w:tcPr>
            <w:tcW w:w="2014" w:type="dxa"/>
          </w:tcPr>
          <w:p w14:paraId="34DD1E12">
            <w:pPr>
              <w:pStyle w:val="86"/>
              <w:spacing w:after="0" w:line="276" w:lineRule="auto"/>
              <w:rPr>
                <w:rFonts w:ascii="Times New Roman" w:hAnsi="Times New Roman" w:cs="Times New Roman"/>
                <w:b/>
                <w:i/>
              </w:rPr>
            </w:pPr>
            <w:r>
              <w:t>Subiecte prezentate de Consultant (inclusiv PPT)</w:t>
            </w:r>
          </w:p>
        </w:tc>
        <w:tc>
          <w:tcPr>
            <w:tcW w:w="6957" w:type="dxa"/>
            <w:gridSpan w:val="6"/>
          </w:tcPr>
          <w:p w14:paraId="531C7489">
            <w:pPr>
              <w:pStyle w:val="73"/>
              <w:numPr>
                <w:ilvl w:val="0"/>
                <w:numId w:val="39"/>
              </w:numPr>
              <w:spacing w:after="0" w:line="276" w:lineRule="auto"/>
              <w:ind w:left="327" w:hanging="251"/>
              <w:rPr>
                <w:rFonts w:ascii="Times New Roman" w:hAnsi="Times New Roman" w:cs="Times New Roman"/>
              </w:rPr>
            </w:pPr>
            <w:r>
              <w:t xml:space="preserve">Informații generale despre proiectul propus </w:t>
            </w:r>
          </w:p>
          <w:p w14:paraId="721C55B6">
            <w:pPr>
              <w:pStyle w:val="73"/>
              <w:numPr>
                <w:ilvl w:val="0"/>
                <w:numId w:val="39"/>
              </w:numPr>
              <w:spacing w:after="0" w:line="276" w:lineRule="auto"/>
              <w:ind w:left="327" w:hanging="251"/>
              <w:rPr>
                <w:rFonts w:ascii="Times New Roman" w:hAnsi="Times New Roman" w:cs="Times New Roman"/>
              </w:rPr>
            </w:pPr>
            <w:r>
              <w:t xml:space="preserve">Elemente cunoscute detaliate ale proiectului în zona localității </w:t>
            </w:r>
          </w:p>
          <w:p w14:paraId="21D76BC9">
            <w:pPr>
              <w:pStyle w:val="73"/>
              <w:numPr>
                <w:ilvl w:val="0"/>
                <w:numId w:val="39"/>
              </w:numPr>
              <w:spacing w:after="0" w:line="276" w:lineRule="auto"/>
              <w:ind w:left="327" w:hanging="251"/>
              <w:rPr>
                <w:rFonts w:ascii="Times New Roman" w:hAnsi="Times New Roman" w:cs="Times New Roman"/>
              </w:rPr>
            </w:pPr>
            <w:r>
              <w:t xml:space="preserve">Informații specifice cu privire la scopul listei de verificare ESMP și la principalele impacturi posibile asupra mediului și a societății; Descrierea GRM. </w:t>
            </w:r>
          </w:p>
          <w:p w14:paraId="47DF41A1">
            <w:pPr>
              <w:pStyle w:val="73"/>
              <w:numPr>
                <w:ilvl w:val="0"/>
                <w:numId w:val="39"/>
              </w:numPr>
              <w:spacing w:after="0" w:line="276" w:lineRule="auto"/>
              <w:ind w:left="327" w:hanging="251"/>
              <w:rPr>
                <w:rFonts w:ascii="Times New Roman" w:hAnsi="Times New Roman" w:cs="Times New Roman"/>
              </w:rPr>
            </w:pPr>
            <w:r>
              <w:t xml:space="preserve">Impacturi posibile identificate specifice asupra mediului și a populației </w:t>
            </w:r>
          </w:p>
          <w:p w14:paraId="5AE5A15E">
            <w:pPr>
              <w:pStyle w:val="73"/>
              <w:numPr>
                <w:ilvl w:val="0"/>
                <w:numId w:val="39"/>
              </w:numPr>
              <w:spacing w:after="0" w:line="276" w:lineRule="auto"/>
              <w:ind w:left="327" w:hanging="251"/>
              <w:rPr>
                <w:rFonts w:ascii="Times New Roman" w:hAnsi="Times New Roman" w:cs="Times New Roman"/>
              </w:rPr>
            </w:pPr>
            <w:r>
              <w:t xml:space="preserve">Măsuri specifice de atenuare propuse. </w:t>
            </w:r>
          </w:p>
          <w:p w14:paraId="0075ADA8">
            <w:pPr>
              <w:pStyle w:val="73"/>
              <w:numPr>
                <w:ilvl w:val="0"/>
                <w:numId w:val="39"/>
              </w:numPr>
              <w:spacing w:after="0" w:line="276" w:lineRule="auto"/>
              <w:ind w:left="327" w:hanging="251"/>
              <w:rPr>
                <w:rFonts w:ascii="Times New Roman" w:hAnsi="Times New Roman" w:cs="Times New Roman"/>
              </w:rPr>
            </w:pPr>
            <w:r>
              <w:t>Etapele următoare ale MRCP</w:t>
            </w:r>
          </w:p>
          <w:p w14:paraId="3D93AE6B">
            <w:pPr>
              <w:pStyle w:val="73"/>
              <w:numPr>
                <w:ilvl w:val="0"/>
                <w:numId w:val="39"/>
              </w:numPr>
              <w:spacing w:after="0" w:line="276" w:lineRule="auto"/>
              <w:ind w:left="327" w:hanging="251"/>
              <w:rPr>
                <w:rFonts w:ascii="Times New Roman" w:hAnsi="Times New Roman" w:cs="Times New Roman"/>
              </w:rPr>
            </w:pPr>
            <w:r>
              <w:t>Stabilirea implicării pozitive a SIMC și a proiectului în comunitate prin intermediul SIMC</w:t>
            </w:r>
          </w:p>
          <w:p w14:paraId="09EAD692">
            <w:pPr>
              <w:pStyle w:val="73"/>
              <w:numPr>
                <w:ilvl w:val="0"/>
                <w:numId w:val="39"/>
              </w:numPr>
              <w:spacing w:after="0" w:line="276" w:lineRule="auto"/>
              <w:ind w:left="327" w:hanging="251"/>
              <w:rPr>
                <w:rFonts w:ascii="Times New Roman" w:hAnsi="Times New Roman" w:cs="Times New Roman"/>
              </w:rPr>
            </w:pPr>
            <w:r>
              <w:t>Informații de contact ale părților interesate (SRA, MIRD, MCS, MF, BM)</w:t>
            </w:r>
          </w:p>
        </w:tc>
      </w:tr>
      <w:tr w14:paraId="6B333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6AEBD06D">
            <w:pPr>
              <w:spacing w:after="0" w:line="276" w:lineRule="auto"/>
              <w:rPr>
                <w:rFonts w:ascii="Times New Roman" w:hAnsi="Times New Roman" w:cs="Times New Roman"/>
                <w:b/>
                <w:i/>
              </w:rPr>
            </w:pPr>
          </w:p>
        </w:tc>
        <w:tc>
          <w:tcPr>
            <w:tcW w:w="4686" w:type="dxa"/>
            <w:gridSpan w:val="3"/>
          </w:tcPr>
          <w:p w14:paraId="73A7D756">
            <w:pPr>
              <w:pStyle w:val="86"/>
              <w:spacing w:after="0" w:line="276" w:lineRule="auto"/>
              <w:rPr>
                <w:rFonts w:ascii="Times New Roman" w:hAnsi="Times New Roman" w:cs="Times New Roman"/>
                <w:b/>
                <w:i/>
              </w:rPr>
            </w:pPr>
            <w:r>
              <w:t>Întrebările adresate și/sau propunerile primite de la participanți:</w:t>
            </w:r>
          </w:p>
        </w:tc>
        <w:tc>
          <w:tcPr>
            <w:tcW w:w="4285" w:type="dxa"/>
            <w:gridSpan w:val="4"/>
          </w:tcPr>
          <w:p w14:paraId="08FCF442">
            <w:pPr>
              <w:pStyle w:val="86"/>
              <w:spacing w:after="0" w:line="276" w:lineRule="auto"/>
              <w:rPr>
                <w:rFonts w:ascii="Times New Roman" w:hAnsi="Times New Roman" w:cs="Times New Roman"/>
                <w:b/>
                <w:i/>
              </w:rPr>
            </w:pPr>
            <w:r>
              <w:t>Răspunsurile/comentariile moderatorilor/consultanților:</w:t>
            </w:r>
          </w:p>
        </w:tc>
      </w:tr>
      <w:tr w14:paraId="4AC55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27FB1D20">
            <w:pPr>
              <w:pStyle w:val="59"/>
              <w:spacing w:after="0" w:line="276" w:lineRule="auto"/>
              <w:jc w:val="both"/>
              <w:rPr>
                <w:rFonts w:ascii="Times New Roman" w:hAnsi="Times New Roman" w:cs="Times New Roman"/>
              </w:rPr>
            </w:pPr>
            <w:r>
              <w:t>1</w:t>
            </w:r>
          </w:p>
        </w:tc>
        <w:tc>
          <w:tcPr>
            <w:tcW w:w="4686" w:type="dxa"/>
            <w:gridSpan w:val="3"/>
          </w:tcPr>
          <w:p w14:paraId="6799124A">
            <w:pPr>
              <w:pStyle w:val="71"/>
              <w:spacing w:after="0" w:line="276" w:lineRule="auto"/>
              <w:jc w:val="both"/>
              <w:rPr>
                <w:rFonts w:ascii="Times New Roman" w:hAnsi="Times New Roman" w:cs="Times New Roman"/>
                <w:i/>
              </w:rPr>
            </w:pPr>
            <w:r>
              <w:rPr>
                <w:rFonts w:hint="default"/>
                <w:lang w:val="ro-RO"/>
              </w:rPr>
              <w:t xml:space="preserve">Când </w:t>
            </w:r>
            <w:r>
              <w:t xml:space="preserve"> va începe construcția? </w:t>
            </w:r>
          </w:p>
        </w:tc>
        <w:tc>
          <w:tcPr>
            <w:tcW w:w="4285" w:type="dxa"/>
            <w:gridSpan w:val="4"/>
          </w:tcPr>
          <w:p w14:paraId="765F8D87">
            <w:pPr>
              <w:pStyle w:val="59"/>
              <w:spacing w:after="0" w:line="276" w:lineRule="auto"/>
              <w:jc w:val="both"/>
              <w:rPr>
                <w:rFonts w:ascii="Times New Roman" w:hAnsi="Times New Roman" w:cs="Times New Roman"/>
              </w:rPr>
            </w:pPr>
            <w:r>
              <w:t xml:space="preserve">Ne așteptăm ca în această vară-toamna construcția să înceapă, acest lucru va urma după lansarea licitației și selectarea unui contractant </w:t>
            </w:r>
          </w:p>
        </w:tc>
      </w:tr>
      <w:tr w14:paraId="742E5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10774FC3">
            <w:pPr>
              <w:pStyle w:val="59"/>
              <w:spacing w:after="0" w:line="276" w:lineRule="auto"/>
              <w:jc w:val="both"/>
              <w:rPr>
                <w:rFonts w:ascii="Times New Roman" w:hAnsi="Times New Roman" w:cs="Times New Roman"/>
              </w:rPr>
            </w:pPr>
            <w:r>
              <w:t>2</w:t>
            </w:r>
          </w:p>
        </w:tc>
        <w:tc>
          <w:tcPr>
            <w:tcW w:w="4686" w:type="dxa"/>
            <w:gridSpan w:val="3"/>
          </w:tcPr>
          <w:p w14:paraId="4C3BABFA">
            <w:pPr>
              <w:pStyle w:val="71"/>
              <w:spacing w:after="0" w:line="276" w:lineRule="auto"/>
              <w:jc w:val="both"/>
              <w:rPr>
                <w:rFonts w:ascii="Times New Roman" w:hAnsi="Times New Roman" w:cs="Times New Roman"/>
                <w:i/>
              </w:rPr>
            </w:pPr>
            <w:r>
              <w:t xml:space="preserve">După construcția șoselei de centură Giurgiulești, platforma va mai fi folosită? Cum să vă asigurați că camioanele nu vor trece pe drumurile satului? </w:t>
            </w:r>
          </w:p>
        </w:tc>
        <w:tc>
          <w:tcPr>
            <w:tcW w:w="4285" w:type="dxa"/>
            <w:gridSpan w:val="4"/>
          </w:tcPr>
          <w:p w14:paraId="7778097D">
            <w:pPr>
              <w:pStyle w:val="59"/>
              <w:spacing w:after="0" w:line="276" w:lineRule="auto"/>
              <w:jc w:val="both"/>
              <w:rPr>
                <w:rFonts w:ascii="Times New Roman" w:hAnsi="Times New Roman" w:cs="Times New Roman"/>
              </w:rPr>
            </w:pPr>
            <w:r>
              <w:t>Construcția șoselei de centură a satului Giurgiulești are ca scop reducerea semnificativă a volumului traficului de camioane grele care trece prin centrul satului. Scopul principal al șoselei de centură este redirecționarea camioanelor de tranzit către portul Giurgiulești și punctul de frontieră, în special a celor care nu au nevoie de acces la facilitățile locale, pentru a îmbunătăți siguranța rutieră, a reduce zgomotul și poluarea aerului și a proteja infrastructura locală.</w:t>
            </w:r>
          </w:p>
          <w:p w14:paraId="5310E7A9">
            <w:pPr>
              <w:pStyle w:val="59"/>
              <w:spacing w:after="0" w:line="276" w:lineRule="auto"/>
              <w:jc w:val="both"/>
              <w:rPr>
                <w:rFonts w:ascii="Times New Roman" w:hAnsi="Times New Roman" w:cs="Times New Roman"/>
              </w:rPr>
            </w:pPr>
            <w:r>
              <w:t>Cu toate acestea, este important să rețineți că camioanele care trebuie să ajungă la destinații specifice din sat. Pentru a se asigura că traficul inutil de camioane este redus la minimum:</w:t>
            </w:r>
          </w:p>
          <w:p w14:paraId="4A9423EC">
            <w:pPr>
              <w:pStyle w:val="59"/>
              <w:numPr>
                <w:ilvl w:val="0"/>
                <w:numId w:val="40"/>
              </w:numPr>
              <w:spacing w:after="0" w:line="276" w:lineRule="auto"/>
              <w:jc w:val="both"/>
              <w:rPr>
                <w:rFonts w:ascii="Times New Roman" w:hAnsi="Times New Roman" w:cs="Times New Roman"/>
              </w:rPr>
            </w:pPr>
            <w:r>
              <w:t>Se vor instala semne de circulație clare și restricții pentru vehiculele grele;</w:t>
            </w:r>
          </w:p>
          <w:p w14:paraId="3032F34C">
            <w:pPr>
              <w:pStyle w:val="59"/>
              <w:numPr>
                <w:ilvl w:val="0"/>
                <w:numId w:val="40"/>
              </w:numPr>
              <w:spacing w:after="0" w:line="276" w:lineRule="auto"/>
              <w:jc w:val="both"/>
              <w:rPr>
                <w:rFonts w:ascii="Times New Roman" w:hAnsi="Times New Roman" w:cs="Times New Roman"/>
              </w:rPr>
            </w:pPr>
            <w:r>
              <w:t>Măsurile de monitorizare și executare vor fi aplicate în colaborare cu autoritățile locale;</w:t>
            </w:r>
          </w:p>
          <w:p w14:paraId="2DAC66EE">
            <w:pPr>
              <w:pStyle w:val="59"/>
              <w:numPr>
                <w:ilvl w:val="0"/>
                <w:numId w:val="40"/>
              </w:numPr>
              <w:spacing w:after="0" w:line="276" w:lineRule="auto"/>
              <w:jc w:val="both"/>
              <w:rPr>
                <w:rFonts w:ascii="Times New Roman" w:hAnsi="Times New Roman" w:cs="Times New Roman"/>
              </w:rPr>
            </w:pPr>
            <w:r>
              <w:t>Un sistem de așteptare și ghidare a camioanelor va contribui la redirecționarea corespunzătoare a traficului;</w:t>
            </w:r>
          </w:p>
          <w:p w14:paraId="2841823E">
            <w:pPr>
              <w:pStyle w:val="59"/>
              <w:numPr>
                <w:ilvl w:val="0"/>
                <w:numId w:val="40"/>
              </w:numPr>
              <w:spacing w:after="0" w:line="276" w:lineRule="auto"/>
              <w:jc w:val="both"/>
              <w:rPr>
                <w:rFonts w:ascii="Times New Roman" w:hAnsi="Times New Roman" w:cs="Times New Roman"/>
              </w:rPr>
            </w:pPr>
            <w:r>
              <w:t>Pot fi organizate consultări suplimentare cu comunitatea locală pentru a adapta măsurile în cazul în care persistă preocupări.</w:t>
            </w:r>
          </w:p>
        </w:tc>
      </w:tr>
      <w:tr w14:paraId="17C66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E3E1A4D">
            <w:pPr>
              <w:spacing w:after="0" w:line="276" w:lineRule="auto"/>
              <w:jc w:val="both"/>
              <w:rPr>
                <w:rFonts w:ascii="Times New Roman" w:hAnsi="Times New Roman" w:cs="Times New Roman"/>
                <w:b/>
                <w:bCs/>
              </w:rPr>
            </w:pPr>
          </w:p>
        </w:tc>
        <w:tc>
          <w:tcPr>
            <w:tcW w:w="4686" w:type="dxa"/>
            <w:gridSpan w:val="3"/>
          </w:tcPr>
          <w:p w14:paraId="3F83CB06">
            <w:pPr>
              <w:pStyle w:val="86"/>
              <w:spacing w:after="0" w:line="276" w:lineRule="auto"/>
              <w:jc w:val="both"/>
              <w:rPr>
                <w:rFonts w:ascii="Times New Roman" w:hAnsi="Times New Roman" w:cs="Times New Roman"/>
                <w:b/>
                <w:bCs/>
                <w:i/>
              </w:rPr>
            </w:pPr>
            <w:r>
              <w:t xml:space="preserve">Concluzie </w:t>
            </w:r>
          </w:p>
        </w:tc>
        <w:tc>
          <w:tcPr>
            <w:tcW w:w="4285" w:type="dxa"/>
            <w:gridSpan w:val="4"/>
          </w:tcPr>
          <w:p w14:paraId="3E1070DC">
            <w:pPr>
              <w:pStyle w:val="57"/>
              <w:spacing w:after="0" w:line="276" w:lineRule="auto"/>
              <w:jc w:val="both"/>
              <w:rPr>
                <w:rFonts w:ascii="Times New Roman" w:hAnsi="Times New Roman" w:cs="Times New Roman"/>
                <w:b/>
                <w:bCs/>
              </w:rPr>
            </w:pPr>
            <w:r>
              <w:t xml:space="preserve">Proiectul are o bună acceptare. </w:t>
            </w:r>
          </w:p>
        </w:tc>
      </w:tr>
    </w:tbl>
    <w:p w14:paraId="324DCB77">
      <w:pPr>
        <w:autoSpaceDE w:val="0"/>
        <w:autoSpaceDN w:val="0"/>
        <w:adjustRightInd w:val="0"/>
        <w:spacing w:after="0" w:line="276" w:lineRule="auto"/>
        <w:jc w:val="both"/>
        <w:rPr>
          <w:rFonts w:ascii="Times New Roman" w:hAnsi="Times New Roman" w:cs="Times New Roman"/>
          <w:color w:val="000000"/>
        </w:rPr>
      </w:pPr>
    </w:p>
    <w:p w14:paraId="6D83685F">
      <w:pPr>
        <w:autoSpaceDE w:val="0"/>
        <w:autoSpaceDN w:val="0"/>
        <w:adjustRightInd w:val="0"/>
        <w:spacing w:after="0" w:line="276" w:lineRule="auto"/>
        <w:jc w:val="both"/>
        <w:rPr>
          <w:rFonts w:ascii="Times New Roman" w:hAnsi="Times New Roman" w:cs="Times New Roman"/>
          <w:color w:val="000000"/>
        </w:rPr>
      </w:pPr>
    </w:p>
    <w:p w14:paraId="4CB7287D">
      <w:pPr>
        <w:autoSpaceDE w:val="0"/>
        <w:autoSpaceDN w:val="0"/>
        <w:adjustRightInd w:val="0"/>
        <w:spacing w:after="0" w:line="276" w:lineRule="auto"/>
        <w:jc w:val="both"/>
        <w:rPr>
          <w:rFonts w:ascii="Times New Roman" w:hAnsi="Times New Roman" w:cs="Times New Roman"/>
          <w:color w:val="000000"/>
        </w:rPr>
      </w:pPr>
    </w:p>
    <w:bookmarkEnd w:id="18"/>
    <w:p w14:paraId="754E2C07">
      <w:pPr>
        <w:autoSpaceDE w:val="0"/>
        <w:autoSpaceDN w:val="0"/>
        <w:adjustRightInd w:val="0"/>
        <w:spacing w:after="0" w:line="276" w:lineRule="auto"/>
        <w:jc w:val="both"/>
        <w:rPr>
          <w:rFonts w:ascii="Times New Roman" w:hAnsi="Times New Roman" w:cs="Times New Roman"/>
          <w:color w:val="000000"/>
        </w:rPr>
      </w:pPr>
    </w:p>
    <w:sectPr>
      <w:pgSz w:w="12240" w:h="15840"/>
      <w:pgMar w:top="1440" w:right="1440" w:bottom="1440"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FC04FFA2-CE4B-4A85-8FC9-992F89EADE23}"/>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667606A7-6AB4-4607-ADD3-B2EEC36BCBE4}"/>
  </w:font>
  <w:font w:name="Wingdings">
    <w:panose1 w:val="05000000000000000000"/>
    <w:charset w:val="02"/>
    <w:family w:val="auto"/>
    <w:pitch w:val="default"/>
    <w:sig w:usb0="00000000" w:usb1="00000000" w:usb2="00000000" w:usb3="00000000" w:csb0="80000000" w:csb1="00000000"/>
    <w:embedRegular r:id="rId3" w:fontKey="{A670CD03-CCA4-48DC-81B7-8BC69F7EA886}"/>
  </w:font>
  <w:font w:name="Calibri">
    <w:panose1 w:val="020F0502020204030204"/>
    <w:charset w:val="00"/>
    <w:family w:val="swiss"/>
    <w:pitch w:val="default"/>
    <w:sig w:usb0="E4002EFF" w:usb1="C000247B" w:usb2="00000009" w:usb3="00000000" w:csb0="200001FF" w:csb1="00000000"/>
    <w:embedRegular r:id="rId4" w:fontKey="{67562526-ED54-4545-8251-A4531FC498F1}"/>
  </w:font>
  <w:font w:name="等线">
    <w:altName w:val="Microsoft YaHei"/>
    <w:panose1 w:val="00000000000000000000"/>
    <w:charset w:val="86"/>
    <w:family w:val="auto"/>
    <w:pitch w:val="default"/>
    <w:sig w:usb0="00000000" w:usb1="00000000" w:usb2="00000000" w:usb3="00000000" w:csb0="00000000" w:csb1="00000000"/>
  </w:font>
  <w:font w:name="Aptos">
    <w:panose1 w:val="020B0004020202020204"/>
    <w:charset w:val="86"/>
    <w:family w:val="swiss"/>
    <w:pitch w:val="default"/>
    <w:sig w:usb0="20000287" w:usb1="00000003" w:usb2="00000000" w:usb3="00000000" w:csb0="2000019F" w:csb1="00000000"/>
    <w:embedRegular r:id="rId5" w:fontKey="{B78AC7C1-B431-4DF4-B564-1B8759741115}"/>
  </w:font>
  <w:font w:name="Aptos">
    <w:panose1 w:val="020B0004020202020204"/>
    <w:charset w:val="86"/>
    <w:family w:val="auto"/>
    <w:pitch w:val="default"/>
    <w:sig w:usb0="20000287" w:usb1="00000003" w:usb2="00000000" w:usb3="00000000" w:csb0="2000019F" w:csb1="00000000"/>
    <w:embedRegular r:id="rId6" w:fontKey="{4B566ACC-D9BF-4991-ADD8-2D7F9DB29B7E}"/>
  </w:font>
  <w:font w:name="Aptos">
    <w:panose1 w:val="020B0004020202020204"/>
    <w:charset w:val="00"/>
    <w:family w:val="auto"/>
    <w:pitch w:val="default"/>
    <w:sig w:usb0="20000287" w:usb1="00000003" w:usb2="00000000" w:usb3="00000000" w:csb0="2000019F" w:csb1="00000000"/>
    <w:embedRegular r:id="rId7" w:fontKey="{DDCA3EF5-21ED-42B5-AD2E-297037B53E0A}"/>
  </w:font>
  <w:font w:name="Aptos Display">
    <w:panose1 w:val="020B0004020202020204"/>
    <w:charset w:val="00"/>
    <w:family w:val="swiss"/>
    <w:pitch w:val="default"/>
    <w:sig w:usb0="20000287" w:usb1="00000003" w:usb2="00000000" w:usb3="00000000" w:csb0="2000019F" w:csb1="00000000"/>
    <w:embedRegular r:id="rId8" w:fontKey="{CCB0C2CE-1663-4381-9229-1BEA29D68767}"/>
  </w:font>
  <w:font w:name="等线 Light">
    <w:altName w:val="Segoe Print"/>
    <w:panose1 w:val="00000000000000000000"/>
    <w:charset w:val="00"/>
    <w:family w:val="auto"/>
    <w:pitch w:val="default"/>
    <w:sig w:usb0="00000000" w:usb1="00000000" w:usb2="00000000" w:usb3="00000000" w:csb0="00000000" w:csb1="00000000"/>
    <w:embedRegular r:id="rId9" w:fontKey="{EC19A33C-91CE-4EC7-992C-5A27B09544EE}"/>
  </w:font>
  <w:font w:name="Symbol">
    <w:panose1 w:val="05050102010706020507"/>
    <w:charset w:val="02"/>
    <w:family w:val="roman"/>
    <w:pitch w:val="default"/>
    <w:sig w:usb0="00000000" w:usb1="00000000" w:usb2="00000000" w:usb3="00000000" w:csb0="80000000" w:csb1="00000000"/>
    <w:embedRegular r:id="rId10" w:fontKey="{78133179-B110-4540-8655-8EB43615A616}"/>
  </w:font>
  <w:font w:name="Noto Sans Symbols">
    <w:altName w:val="Times New Roman"/>
    <w:panose1 w:val="00000000000000000000"/>
    <w:charset w:val="00"/>
    <w:family w:val="auto"/>
    <w:pitch w:val="default"/>
    <w:sig w:usb0="00000000" w:usb1="00000000" w:usb2="00000000" w:usb3="00000000" w:csb0="00000000" w:csb1="00000000"/>
    <w:embedRegular r:id="rId11" w:fontKey="{E469B74D-3838-4F80-95B2-65A06011EB2F}"/>
  </w:font>
  <w:font w:name="NimbusRomNo9L">
    <w:altName w:val="Calibri"/>
    <w:panose1 w:val="00000000000000000000"/>
    <w:charset w:val="00"/>
    <w:family w:val="auto"/>
    <w:pitch w:val="default"/>
    <w:sig w:usb0="00000000" w:usb1="00000000" w:usb2="00000000" w:usb3="00000000" w:csb0="00000001"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embedRegular r:id="rId12" w:fontKey="{EECD66AE-8A42-43B8-9D96-058ED82E78A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1D8873">
    <w:pPr>
      <w:pStyle w:val="89"/>
      <w:jc w:val="right"/>
      <w:rPr>
        <w:rFonts w:ascii="Times New Roman" w:hAnsi="Times New Roman" w:cs="Times New Roman"/>
      </w:rPr>
    </w:pPr>
    <w:r>
      <w:rPr>
        <w14:ligatures w14:val="standardContextual"/>
      </w:rPr>
      <mc:AlternateContent>
        <mc:Choice Requires="wps">
          <w:drawing>
            <wp:anchor distT="0" distB="0" distL="0" distR="0" simplePos="0" relativeHeight="251661312" behindDoc="0" locked="0" layoutInCell="1" allowOverlap="1">
              <wp:simplePos x="0" y="0"/>
              <wp:positionH relativeFrom="page">
                <wp:align>right</wp:align>
              </wp:positionH>
              <wp:positionV relativeFrom="page">
                <wp:align>bottom</wp:align>
              </wp:positionV>
              <wp:extent cx="1106805" cy="357505"/>
              <wp:effectExtent l="0" t="0" r="0" b="0"/>
              <wp:wrapNone/>
              <wp:docPr id="1473048651" name="Caseta de text 3" descr="Official Use Only"/>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37D3C696">
                          <w:pPr>
                            <w:pStyle w:val="88"/>
                            <w:spacing w:after="0"/>
                            <w:rPr>
                              <w:rFonts w:ascii="Calibri" w:hAnsi="Calibri" w:eastAsia="Calibri" w:cs="Calibri"/>
                              <w:color w:val="000000"/>
                              <w:sz w:val="20"/>
                              <w:szCs w:val="20"/>
                            </w:rPr>
                          </w:pPr>
                          <w:r>
                            <w:t>Numai pentru uz oficial</w:t>
                          </w:r>
                        </w:p>
                      </w:txbxContent>
                    </wps:txbx>
                    <wps:bodyPr rot="0" spcFirstLastPara="0" vertOverflow="overflow" horzOverflow="overflow" vert="horz" wrap="none" lIns="0" tIns="0" rIns="254000" bIns="190500" numCol="1" spcCol="0" rtlCol="0" fromWordArt="0" anchor="b" anchorCtr="0" forceAA="0" compatLnSpc="1">
                      <a:spAutoFit/>
                    </wps:bodyPr>
                  </wps:wsp>
                </a:graphicData>
              </a:graphic>
            </wp:anchor>
          </w:drawing>
        </mc:Choice>
        <mc:Fallback>
          <w:pict>
            <v:shape id="Caseta de text 3" o:spid="_x0000_s1026" o:spt="202" alt="Official Use Only" type="#_x0000_t202" style="position:absolute;left:0pt;height:28.15pt;width:87.15pt;mso-position-horizontal:right;mso-position-horizontal-relative:page;mso-position-vertical:bottom;mso-position-vertical-relative:page;mso-wrap-style:none;z-index:251661312;v-text-anchor:bottom;mso-width-relative:page;mso-height-relative:page;" filled="f" stroked="f" coordsize="21600,21600" o:gfxdata="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7hlqtYAAAAEAQAADwAAAAAAAAABACAAAAAiAAAAZHJz&#10;L2Rvd25yZXYueG1sUEsBAhQAFAAAAAgAh07iQJqdDAI/AgAAfQQAAA4AAAAAAAAAAQAgAAAAJQEA&#10;AGRycy9lMm9Eb2MueG1sUEsFBgAAAAAGAAYAWQEAANYFAAAAAA==&#10;">
              <v:fill on="f" focussize="0,0"/>
              <v:stroke on="f"/>
              <v:imagedata o:title=""/>
              <o:lock v:ext="edit" aspectratio="f"/>
              <v:textbox inset="0mm,0mm,20pt,15pt" style="mso-fit-shape-to-text:t;">
                <w:txbxContent>
                  <w:p w14:paraId="37D3C696">
                    <w:pPr>
                      <w:pStyle w:val="88"/>
                      <w:spacing w:after="0"/>
                      <w:rPr>
                        <w:rFonts w:ascii="Calibri" w:hAnsi="Calibri" w:eastAsia="Calibri" w:cs="Calibri"/>
                        <w:color w:val="000000"/>
                        <w:sz w:val="20"/>
                        <w:szCs w:val="20"/>
                      </w:rPr>
                    </w:pPr>
                    <w:r>
                      <w:t>Numai pentru uz oficial</w:t>
                    </w:r>
                  </w:p>
                </w:txbxContent>
              </v:textbox>
            </v:shape>
          </w:pict>
        </mc:Fallback>
      </mc:AlternateContent>
    </w:r>
    <w:sdt>
      <w:sdtPr>
        <w:rPr>
          <w:rFonts w:ascii="Times New Roman" w:hAnsi="Times New Roman" w:cs="Times New Roman"/>
        </w:rPr>
        <w:id w:val="439425274"/>
        <w:docPartObj>
          <w:docPartGallery w:val="autotext"/>
        </w:docPartObj>
      </w:sdtPr>
      <w:sdtEndPr>
        <w:rPr>
          <w:rFonts w:ascii="Times New Roman" w:hAnsi="Times New Roman" w:cs="Times New Roman"/>
        </w:rPr>
      </w:sdtEndPr>
      <w:sdtContent>
        <w: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sdtContent>
    </w:sdt>
  </w:p>
  <w:p w14:paraId="103CD88A">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D1C7FE">
    <w:pPr>
      <w:pStyle w:val="90"/>
    </w:pPr>
    <w:r>
      <mc:AlternateContent>
        <mc:Choice Requires="wps">
          <w:drawing>
            <wp:anchor distT="0" distB="0" distL="0" distR="0" simplePos="0" relativeHeight="251660288" behindDoc="0" locked="0" layoutInCell="1" allowOverlap="1">
              <wp:simplePos x="0" y="0"/>
              <wp:positionH relativeFrom="page">
                <wp:align>right</wp:align>
              </wp:positionH>
              <wp:positionV relativeFrom="page">
                <wp:align>bottom</wp:align>
              </wp:positionV>
              <wp:extent cx="1106805" cy="357505"/>
              <wp:effectExtent l="0" t="0" r="0" b="0"/>
              <wp:wrapNone/>
              <wp:docPr id="544845774" name="Caseta de text 2" descr="Official Use Only"/>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252CDFE5">
                          <w:pPr>
                            <w:pStyle w:val="88"/>
                            <w:spacing w:after="0"/>
                            <w:rPr>
                              <w:rFonts w:ascii="Calibri" w:hAnsi="Calibri" w:eastAsia="Calibri" w:cs="Calibri"/>
                              <w:color w:val="000000"/>
                              <w:sz w:val="20"/>
                              <w:szCs w:val="20"/>
                            </w:rPr>
                          </w:pPr>
                          <w:r>
                            <w:t>Numai pentru uz oficial</w:t>
                          </w:r>
                        </w:p>
                      </w:txbxContent>
                    </wps:txbx>
                    <wps:bodyPr rot="0" spcFirstLastPara="0" vertOverflow="overflow" horzOverflow="overflow" vert="horz" wrap="none" lIns="0" tIns="0" rIns="254000" bIns="190500" numCol="1" spcCol="0" rtlCol="0" fromWordArt="0" anchor="b" anchorCtr="0" forceAA="0" compatLnSpc="1">
                      <a:spAutoFit/>
                    </wps:bodyPr>
                  </wps:wsp>
                </a:graphicData>
              </a:graphic>
            </wp:anchor>
          </w:drawing>
        </mc:Choice>
        <mc:Fallback>
          <w:pict>
            <v:shape id="Caseta de text 2" o:spid="_x0000_s1026" o:spt="202" alt="Official Use Only" type="#_x0000_t202" style="position:absolute;left:0pt;height:28.15pt;width:87.15pt;mso-position-horizontal:right;mso-position-horizontal-relative:page;mso-position-vertical:bottom;mso-position-vertical-relative:page;mso-wrap-style:none;z-index:251660288;v-text-anchor:bottom;mso-width-relative:page;mso-height-relative:page;" filled="f" stroked="f" coordsize="21600,21600" o:gfxdata="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7hlqtYAAAAEAQAADwAAAAAAAAABACAAAAAiAAAAZHJz&#10;L2Rvd25yZXYueG1sUEsBAhQAFAAAAAgAh07iQIq1FR8/AgAAfAQAAA4AAAAAAAAAAQAgAAAAJQEA&#10;AGRycy9lMm9Eb2MueG1sUEsFBgAAAAAGAAYAWQEAANYFAAAAAA==&#10;">
              <v:fill on="f" focussize="0,0"/>
              <v:stroke on="f"/>
              <v:imagedata o:title=""/>
              <o:lock v:ext="edit" aspectratio="f"/>
              <v:textbox inset="0mm,0mm,20pt,15pt" style="mso-fit-shape-to-text:t;">
                <w:txbxContent>
                  <w:p w14:paraId="252CDFE5">
                    <w:pPr>
                      <w:pStyle w:val="88"/>
                      <w:spacing w:after="0"/>
                      <w:rPr>
                        <w:rFonts w:ascii="Calibri" w:hAnsi="Calibri" w:eastAsia="Calibri" w:cs="Calibri"/>
                        <w:color w:val="000000"/>
                        <w:sz w:val="20"/>
                        <w:szCs w:val="20"/>
                      </w:rPr>
                    </w:pPr>
                    <w:r>
                      <w:t>Numai pentru uz oficial</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219F06">
    <w:pPr>
      <w:pStyle w:val="90"/>
    </w:pPr>
    <w:r>
      <mc:AlternateContent>
        <mc:Choice Requires="wps">
          <w:drawing>
            <wp:anchor distT="0" distB="0" distL="0" distR="0" simplePos="0" relativeHeight="251659264" behindDoc="0" locked="0" layoutInCell="1" allowOverlap="1">
              <wp:simplePos x="0" y="0"/>
              <wp:positionH relativeFrom="page">
                <wp:align>right</wp:align>
              </wp:positionH>
              <wp:positionV relativeFrom="page">
                <wp:align>bottom</wp:align>
              </wp:positionV>
              <wp:extent cx="1106805" cy="357505"/>
              <wp:effectExtent l="0" t="0" r="0" b="0"/>
              <wp:wrapNone/>
              <wp:docPr id="239165179" name="Caseta de text 1" descr="Official Use Only"/>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4F8CCD59">
                          <w:pPr>
                            <w:pStyle w:val="88"/>
                            <w:spacing w:after="0"/>
                            <w:rPr>
                              <w:rFonts w:ascii="Calibri" w:hAnsi="Calibri" w:eastAsia="Calibri" w:cs="Calibri"/>
                              <w:color w:val="000000"/>
                              <w:sz w:val="20"/>
                              <w:szCs w:val="20"/>
                            </w:rPr>
                          </w:pPr>
                          <w:r>
                            <w:t>Numai pentru uz oficial</w:t>
                          </w:r>
                        </w:p>
                      </w:txbxContent>
                    </wps:txbx>
                    <wps:bodyPr rot="0" spcFirstLastPara="0" vertOverflow="overflow" horzOverflow="overflow" vert="horz" wrap="none" lIns="0" tIns="0" rIns="254000" bIns="190500" numCol="1" spcCol="0" rtlCol="0" fromWordArt="0" anchor="b" anchorCtr="0" forceAA="0" compatLnSpc="1">
                      <a:spAutoFit/>
                    </wps:bodyPr>
                  </wps:wsp>
                </a:graphicData>
              </a:graphic>
            </wp:anchor>
          </w:drawing>
        </mc:Choice>
        <mc:Fallback>
          <w:pict>
            <v:shape id="Caseta de text 1" o:spid="_x0000_s1026" o:spt="202" alt="Official Use Only" type="#_x0000_t202" style="position:absolute;left:0pt;height:28.15pt;width:87.15pt;mso-position-horizontal:right;mso-position-horizontal-relative:page;mso-position-vertical:bottom;mso-position-vertical-relative:page;mso-wrap-style:none;z-index:251659264;v-text-anchor:bottom;mso-width-relative:page;mso-height-relative:page;" filled="f" stroked="f" coordsize="21600,21600" o:gfxdata="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7hlqtYAAAAEAQAADwAAAAAAAAABACAAAAAiAAAAZHJz&#10;L2Rvd25yZXYueG1sUEsBAhQAFAAAAAgAh07iQIpdGvM/AgAAfAQAAA4AAAAAAAAAAQAgAAAAJQEA&#10;AGRycy9lMm9Eb2MueG1sUEsFBgAAAAAGAAYAWQEAANYFAAAAAA==&#10;">
              <v:fill on="f" focussize="0,0"/>
              <v:stroke on="f"/>
              <v:imagedata o:title=""/>
              <o:lock v:ext="edit" aspectratio="f"/>
              <v:textbox inset="0mm,0mm,20pt,15pt" style="mso-fit-shape-to-text:t;">
                <w:txbxContent>
                  <w:p w14:paraId="4F8CCD59">
                    <w:pPr>
                      <w:pStyle w:val="88"/>
                      <w:spacing w:after="0"/>
                      <w:rPr>
                        <w:rFonts w:ascii="Calibri" w:hAnsi="Calibri" w:eastAsia="Calibri" w:cs="Calibri"/>
                        <w:color w:val="000000"/>
                        <w:sz w:val="20"/>
                        <w:szCs w:val="20"/>
                      </w:rPr>
                    </w:pPr>
                    <w:r>
                      <w:t>Numai pentru uz oficial</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
    <w:p>
      <w:pPr>
        <w:spacing w:before="0" w:after="0" w:line="259" w:lineRule="auto"/>
      </w:pPr>
      <w:r>
        <w:separator/>
      </w:r>
    </w:p>
  </w:footnote>
  <w:footnote w:type="continuationSeparator" w:id="5">
    <w:p>
      <w:pPr>
        <w:spacing w:before="0" w:after="0" w:line="259" w:lineRule="auto"/>
      </w:pPr>
      <w:r>
        <w:continuationSeparator/>
      </w:r>
    </w:p>
  </w:footnote>
  <w:footnote w:id="0">
    <w:p w14:paraId="6CE32313">
      <w:pPr>
        <w:pBdr>
          <w:top w:val="none" w:color="auto" w:sz="0" w:space="0"/>
          <w:left w:val="none" w:color="auto" w:sz="0" w:space="0"/>
          <w:bottom w:val="none" w:color="auto" w:sz="0" w:space="0"/>
          <w:right w:val="none" w:color="auto" w:sz="0" w:space="0"/>
          <w:between w:val="none" w:color="auto" w:sz="0" w:space="0"/>
        </w:pBdr>
        <w:rPr>
          <w:color w:val="000000"/>
          <w:sz w:val="20"/>
          <w:szCs w:val="20"/>
        </w:rPr>
      </w:pPr>
      <w:r>
        <w:rPr>
          <w:rStyle w:val="18"/>
        </w:rPr>
        <w:footnoteRef/>
      </w:r>
      <w:r>
        <w:rPr>
          <w:rStyle w:val="18"/>
        </w:rPr>
        <w:t xml:space="preserve"> </w:t>
      </w:r>
      <w:sdt>
        <w:sdtPr>
          <w:tag w:val="goog_rdk_1947"/>
          <w:id w:val="1972635560"/>
        </w:sdtPr>
        <w:sdtContent>
          <w:r>
            <w:rPr>
              <w:color w:val="000000"/>
              <w:sz w:val="20"/>
              <w:szCs w:val="20"/>
            </w:rPr>
            <w:t xml:space="preserve"> </w:t>
          </w:r>
          <w:r>
            <w:rPr>
              <w:rFonts w:hint="default"/>
              <w:color w:val="000000"/>
              <w:sz w:val="20"/>
              <w:szCs w:val="20"/>
              <w:lang w:val="ro-RO"/>
            </w:rPr>
            <w:t xml:space="preserve">Banca </w:t>
          </w:r>
        </w:sdtContent>
      </w:sdt>
      <w:r>
        <w:rPr>
          <w:color w:val="000000"/>
          <w:sz w:val="20"/>
          <w:szCs w:val="20"/>
        </w:rPr>
        <w:t xml:space="preserve">Mondială ar trebui, de asemenea, să fie notificată în termen de 48 de ore de </w:t>
      </w:r>
      <w:r>
        <w:rPr>
          <w:b/>
          <w:color w:val="000000"/>
          <w:sz w:val="20"/>
          <w:szCs w:val="20"/>
        </w:rPr>
        <w:t xml:space="preserve">la primirea informațiilor cu privire la orice plângere legată de proiect referitoare la un incident sau accident </w:t>
      </w:r>
      <w:r>
        <w:rPr>
          <w:color w:val="000000"/>
          <w:sz w:val="20"/>
          <w:szCs w:val="20"/>
        </w:rPr>
        <w:t xml:space="preserve">care are sau este probabil să aibă un efect negativ semnificativ asupra mediului, a comunităților afectate, a publicului sau a lucrătorilor, inclusiv, printre altele, cazuri de exploatare și abuz sexual (SEA), hărțuire sexuală (SH) și accidente care au ca rezultat decesul, vătămarea gravă sau multiplă. A se vedea </w:t>
      </w:r>
      <w:r>
        <w:rPr>
          <w:rFonts w:hint="default"/>
          <w:color w:val="000000"/>
          <w:sz w:val="20"/>
          <w:szCs w:val="20"/>
          <w:lang w:val="ro-RO"/>
        </w:rPr>
        <w:t>ESCP</w:t>
      </w:r>
      <w:r>
        <w:rPr>
          <w:color w:val="000000"/>
          <w:sz w:val="20"/>
          <w:szCs w:val="20"/>
        </w:rPr>
        <w:t xml:space="preserve">.  </w:t>
      </w:r>
    </w:p>
  </w:footnote>
  <w:footnote w:id="1">
    <w:p w14:paraId="3348B091">
      <w:pPr>
        <w:pStyle w:val="20"/>
      </w:pPr>
      <w:r>
        <w:rPr>
          <w:rStyle w:val="18"/>
          <w:rFonts w:eastAsiaTheme="majorEastAsia"/>
        </w:rPr>
        <w:footnoteRef/>
      </w:r>
      <w:r>
        <w:t xml:space="preserve"> Materialele toxice / periculoase includ și nu se limitează la azbest, vopsele toxice, îndepărtarea vopselei cu plumb etc.</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93743AD"/>
    <w:multiLevelType w:val="multilevel"/>
    <w:tmpl w:val="093743AD"/>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
    <w:nsid w:val="0ED5439A"/>
    <w:multiLevelType w:val="multilevel"/>
    <w:tmpl w:val="0ED5439A"/>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11A4641C"/>
    <w:multiLevelType w:val="multilevel"/>
    <w:tmpl w:val="11A4641C"/>
    <w:lvl w:ilvl="0" w:tentative="0">
      <w:start w:val="1"/>
      <w:numFmt w:val="bullet"/>
      <w:lvlText w:val="-"/>
      <w:lvlJc w:val="left"/>
      <w:pPr>
        <w:ind w:left="720" w:hanging="360"/>
      </w:pPr>
      <w:rPr>
        <w:rFonts w:hint="default" w:ascii="NimbusRomNo9L" w:hAnsi="NimbusRomNo9L" w:cs="NimbusRomNo9L"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131D659C"/>
    <w:multiLevelType w:val="multilevel"/>
    <w:tmpl w:val="131D659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lowerLetter"/>
      <w:lvlText w:val="%2)"/>
      <w:lvlJc w:val="left"/>
      <w:pPr>
        <w:ind w:left="360" w:hanging="360"/>
      </w:pPr>
      <w:rPr>
        <w:rFonts w:hint="default"/>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
    <w:nsid w:val="158D69BC"/>
    <w:multiLevelType w:val="multilevel"/>
    <w:tmpl w:val="158D69BC"/>
    <w:lvl w:ilvl="0" w:tentative="0">
      <w:start w:val="1"/>
      <w:numFmt w:val="bullet"/>
      <w:lvlText w:val=""/>
      <w:lvlJc w:val="left"/>
      <w:pPr>
        <w:tabs>
          <w:tab w:val="left" w:pos="720"/>
        </w:tabs>
        <w:ind w:left="720" w:hanging="720"/>
      </w:pPr>
      <w:rPr>
        <w:rFonts w:hint="default" w:ascii="Wingdings" w:hAnsi="Wingdings"/>
      </w:r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abstractNum w:abstractNumId="5">
    <w:nsid w:val="1688274A"/>
    <w:multiLevelType w:val="multilevel"/>
    <w:tmpl w:val="1688274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
    <w:nsid w:val="16D401D3"/>
    <w:multiLevelType w:val="multilevel"/>
    <w:tmpl w:val="16D401D3"/>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18471F37"/>
    <w:multiLevelType w:val="multilevel"/>
    <w:tmpl w:val="18471F37"/>
    <w:lvl w:ilvl="0" w:tentative="0">
      <w:start w:val="0"/>
      <w:numFmt w:val="bullet"/>
      <w:lvlText w:val="•"/>
      <w:lvlJc w:val="left"/>
      <w:pPr>
        <w:ind w:left="720" w:hanging="360"/>
      </w:pPr>
      <w:rPr>
        <w:rFonts w:ascii="Times New Roman" w:hAnsi="Times New Roman" w:eastAsia="Times New Roman" w:cs="Times New Roman"/>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19406392"/>
    <w:multiLevelType w:val="multilevel"/>
    <w:tmpl w:val="19406392"/>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197C62DD"/>
    <w:multiLevelType w:val="multilevel"/>
    <w:tmpl w:val="197C62DD"/>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
    <w:nsid w:val="1A0A19D6"/>
    <w:multiLevelType w:val="multilevel"/>
    <w:tmpl w:val="1A0A19D6"/>
    <w:lvl w:ilvl="0" w:tentative="0">
      <w:start w:val="1"/>
      <w:numFmt w:val="bullet"/>
      <w:lvlText w:val="-"/>
      <w:lvlJc w:val="left"/>
      <w:pPr>
        <w:ind w:left="1440" w:hanging="360"/>
      </w:pPr>
      <w:rPr>
        <w:rFonts w:hint="default" w:ascii="NimbusRomNo9L" w:hAnsi="NimbusRomNo9L" w:cs="NimbusRomNo9L" w:eastAsiaTheme="minorHAnsi"/>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11">
    <w:nsid w:val="1A520167"/>
    <w:multiLevelType w:val="multilevel"/>
    <w:tmpl w:val="1A520167"/>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212F4047"/>
    <w:multiLevelType w:val="multilevel"/>
    <w:tmpl w:val="212F4047"/>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3">
    <w:nsid w:val="23C920A1"/>
    <w:multiLevelType w:val="multilevel"/>
    <w:tmpl w:val="23C920A1"/>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
    <w:nsid w:val="24AC266B"/>
    <w:multiLevelType w:val="multilevel"/>
    <w:tmpl w:val="24AC266B"/>
    <w:lvl w:ilvl="0" w:tentative="0">
      <w:start w:val="6"/>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25711A25"/>
    <w:multiLevelType w:val="multilevel"/>
    <w:tmpl w:val="25711A2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6">
    <w:nsid w:val="259F7137"/>
    <w:multiLevelType w:val="multilevel"/>
    <w:tmpl w:val="259F7137"/>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28B90545"/>
    <w:multiLevelType w:val="multilevel"/>
    <w:tmpl w:val="28B90545"/>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2D56786D"/>
    <w:multiLevelType w:val="multilevel"/>
    <w:tmpl w:val="2D56786D"/>
    <w:lvl w:ilvl="0" w:tentative="0">
      <w:start w:val="1"/>
      <w:numFmt w:val="bullet"/>
      <w:lvlText w:val=""/>
      <w:lvlJc w:val="left"/>
      <w:pPr>
        <w:ind w:left="720" w:hanging="360"/>
      </w:pPr>
      <w:rPr>
        <w:rFonts w:hint="default" w:ascii="Wingdings" w:hAnsi="Wingding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364536C4"/>
    <w:multiLevelType w:val="multilevel"/>
    <w:tmpl w:val="364536C4"/>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36C31282"/>
    <w:multiLevelType w:val="multilevel"/>
    <w:tmpl w:val="36C31282"/>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1">
    <w:nsid w:val="38485BEA"/>
    <w:multiLevelType w:val="multilevel"/>
    <w:tmpl w:val="38485BEA"/>
    <w:lvl w:ilvl="0" w:tentative="0">
      <w:start w:val="1"/>
      <w:numFmt w:val="bullet"/>
      <w:lvlText w:val=""/>
      <w:lvlJc w:val="left"/>
      <w:pPr>
        <w:tabs>
          <w:tab w:val="left" w:pos="720"/>
        </w:tabs>
        <w:ind w:left="720" w:hanging="360"/>
      </w:pPr>
      <w:rPr>
        <w:rFonts w:hint="default" w:ascii="Symbol" w:hAnsi="Symbol"/>
        <w:sz w:val="20"/>
      </w:rPr>
    </w:lvl>
    <w:lvl w:ilvl="1" w:tentative="0">
      <w:start w:val="1999"/>
      <w:numFmt w:val="bullet"/>
      <w:lvlText w:val="-"/>
      <w:lvlJc w:val="left"/>
      <w:pPr>
        <w:ind w:left="360" w:hanging="360"/>
      </w:pPr>
      <w:rPr>
        <w:rFonts w:hint="default" w:ascii="Calibri" w:hAnsi="Calibri"/>
        <w:sz w:val="16"/>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2">
    <w:nsid w:val="39984C55"/>
    <w:multiLevelType w:val="multilevel"/>
    <w:tmpl w:val="39984C55"/>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3">
    <w:nsid w:val="3ECD792C"/>
    <w:multiLevelType w:val="multilevel"/>
    <w:tmpl w:val="3ECD792C"/>
    <w:lvl w:ilvl="0" w:tentative="0">
      <w:start w:val="1999"/>
      <w:numFmt w:val="bullet"/>
      <w:lvlText w:val="-"/>
      <w:lvlJc w:val="left"/>
      <w:pPr>
        <w:tabs>
          <w:tab w:val="left" w:pos="360"/>
        </w:tabs>
        <w:ind w:left="360" w:hanging="360"/>
      </w:pPr>
      <w:rPr>
        <w:rFonts w:hint="default" w:ascii="Calibri" w:hAnsi="Calibri"/>
        <w:sz w:val="16"/>
      </w:rPr>
    </w:lvl>
    <w:lvl w:ilvl="1" w:tentative="0">
      <w:start w:val="1"/>
      <w:numFmt w:val="lowerLetter"/>
      <w:lvlText w:val="%2."/>
      <w:lvlJc w:val="left"/>
      <w:pPr>
        <w:tabs>
          <w:tab w:val="left" w:pos="1080"/>
        </w:tabs>
        <w:ind w:left="1080" w:hanging="360"/>
      </w:pPr>
    </w:lvl>
    <w:lvl w:ilvl="2" w:tentative="0">
      <w:start w:val="1"/>
      <w:numFmt w:val="lowerRoman"/>
      <w:lvlText w:val="%3."/>
      <w:lvlJc w:val="right"/>
      <w:pPr>
        <w:tabs>
          <w:tab w:val="left" w:pos="1800"/>
        </w:tabs>
        <w:ind w:left="1800" w:hanging="180"/>
      </w:pPr>
    </w:lvl>
    <w:lvl w:ilvl="3" w:tentative="0">
      <w:start w:val="1"/>
      <w:numFmt w:val="decimal"/>
      <w:lvlText w:val="%4."/>
      <w:lvlJc w:val="left"/>
      <w:pPr>
        <w:tabs>
          <w:tab w:val="left" w:pos="2520"/>
        </w:tabs>
        <w:ind w:left="2520" w:hanging="360"/>
      </w:pPr>
    </w:lvl>
    <w:lvl w:ilvl="4" w:tentative="0">
      <w:start w:val="1"/>
      <w:numFmt w:val="lowerLetter"/>
      <w:lvlText w:val="%5."/>
      <w:lvlJc w:val="left"/>
      <w:pPr>
        <w:tabs>
          <w:tab w:val="left" w:pos="3240"/>
        </w:tabs>
        <w:ind w:left="3240" w:hanging="360"/>
      </w:pPr>
    </w:lvl>
    <w:lvl w:ilvl="5" w:tentative="0">
      <w:start w:val="1"/>
      <w:numFmt w:val="lowerRoman"/>
      <w:lvlText w:val="%6."/>
      <w:lvlJc w:val="right"/>
      <w:pPr>
        <w:tabs>
          <w:tab w:val="left" w:pos="3960"/>
        </w:tabs>
        <w:ind w:left="3960" w:hanging="180"/>
      </w:pPr>
    </w:lvl>
    <w:lvl w:ilvl="6" w:tentative="0">
      <w:start w:val="1"/>
      <w:numFmt w:val="decimal"/>
      <w:lvlText w:val="%7."/>
      <w:lvlJc w:val="left"/>
      <w:pPr>
        <w:tabs>
          <w:tab w:val="left" w:pos="4680"/>
        </w:tabs>
        <w:ind w:left="4680" w:hanging="360"/>
      </w:pPr>
    </w:lvl>
    <w:lvl w:ilvl="7" w:tentative="0">
      <w:start w:val="1"/>
      <w:numFmt w:val="lowerLetter"/>
      <w:lvlText w:val="%8."/>
      <w:lvlJc w:val="left"/>
      <w:pPr>
        <w:tabs>
          <w:tab w:val="left" w:pos="5400"/>
        </w:tabs>
        <w:ind w:left="5400" w:hanging="360"/>
      </w:pPr>
    </w:lvl>
    <w:lvl w:ilvl="8" w:tentative="0">
      <w:start w:val="1"/>
      <w:numFmt w:val="lowerRoman"/>
      <w:lvlText w:val="%9."/>
      <w:lvlJc w:val="right"/>
      <w:pPr>
        <w:tabs>
          <w:tab w:val="left" w:pos="6120"/>
        </w:tabs>
        <w:ind w:left="6120" w:hanging="180"/>
      </w:pPr>
    </w:lvl>
  </w:abstractNum>
  <w:abstractNum w:abstractNumId="24">
    <w:nsid w:val="46376ADB"/>
    <w:multiLevelType w:val="multilevel"/>
    <w:tmpl w:val="46376ADB"/>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4C146F06"/>
    <w:multiLevelType w:val="multilevel"/>
    <w:tmpl w:val="4C146F06"/>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6">
    <w:nsid w:val="4CB33AF9"/>
    <w:multiLevelType w:val="multilevel"/>
    <w:tmpl w:val="4CB33AF9"/>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7">
    <w:nsid w:val="4D36681D"/>
    <w:multiLevelType w:val="multilevel"/>
    <w:tmpl w:val="4D36681D"/>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8">
    <w:nsid w:val="4ECC34CF"/>
    <w:multiLevelType w:val="multilevel"/>
    <w:tmpl w:val="4ECC34CF"/>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9">
    <w:nsid w:val="5895071F"/>
    <w:multiLevelType w:val="multilevel"/>
    <w:tmpl w:val="5895071F"/>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0">
    <w:nsid w:val="5B1876B3"/>
    <w:multiLevelType w:val="multilevel"/>
    <w:tmpl w:val="5B1876B3"/>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1">
    <w:nsid w:val="5D2472E3"/>
    <w:multiLevelType w:val="multilevel"/>
    <w:tmpl w:val="5D2472E3"/>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2">
    <w:nsid w:val="5DF710EF"/>
    <w:multiLevelType w:val="multilevel"/>
    <w:tmpl w:val="5DF710EF"/>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3">
    <w:nsid w:val="5E7C74B7"/>
    <w:multiLevelType w:val="multilevel"/>
    <w:tmpl w:val="5E7C74B7"/>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34">
    <w:nsid w:val="6506674D"/>
    <w:multiLevelType w:val="multilevel"/>
    <w:tmpl w:val="6506674D"/>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5">
    <w:nsid w:val="65BA6131"/>
    <w:multiLevelType w:val="multilevel"/>
    <w:tmpl w:val="65BA6131"/>
    <w:lvl w:ilvl="0" w:tentative="0">
      <w:start w:val="1"/>
      <w:numFmt w:val="bullet"/>
      <w:lvlText w:val="-"/>
      <w:lvlJc w:val="left"/>
      <w:pPr>
        <w:ind w:left="1440" w:hanging="360"/>
      </w:pPr>
      <w:rPr>
        <w:rFonts w:hint="default" w:ascii="NimbusRomNo9L" w:hAnsi="NimbusRomNo9L" w:cs="NimbusRomNo9L" w:eastAsiaTheme="minorHAnsi"/>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36">
    <w:nsid w:val="707C2112"/>
    <w:multiLevelType w:val="multilevel"/>
    <w:tmpl w:val="707C2112"/>
    <w:lvl w:ilvl="0" w:tentative="0">
      <w:start w:val="1"/>
      <w:numFmt w:val="upperLetter"/>
      <w:lvlText w:val="%1."/>
      <w:lvlJc w:val="left"/>
      <w:pPr>
        <w:ind w:left="540" w:hanging="360"/>
      </w:pPr>
      <w:rPr>
        <w:rFonts w:hint="default"/>
      </w:rPr>
    </w:lvl>
    <w:lvl w:ilvl="1" w:tentative="0">
      <w:start w:val="1"/>
      <w:numFmt w:val="lowerLetter"/>
      <w:lvlText w:val="%2."/>
      <w:lvlJc w:val="left"/>
      <w:pPr>
        <w:ind w:left="810" w:hanging="360"/>
      </w:pPr>
    </w:lvl>
    <w:lvl w:ilvl="2" w:tentative="0">
      <w:start w:val="1"/>
      <w:numFmt w:val="lowerRoman"/>
      <w:lvlText w:val="%3."/>
      <w:lvlJc w:val="right"/>
      <w:pPr>
        <w:ind w:left="1530" w:hanging="180"/>
      </w:pPr>
    </w:lvl>
    <w:lvl w:ilvl="3" w:tentative="0">
      <w:start w:val="1"/>
      <w:numFmt w:val="decimal"/>
      <w:lvlText w:val="%4."/>
      <w:lvlJc w:val="left"/>
      <w:pPr>
        <w:ind w:left="2250" w:hanging="360"/>
      </w:pPr>
    </w:lvl>
    <w:lvl w:ilvl="4" w:tentative="0">
      <w:start w:val="1"/>
      <w:numFmt w:val="lowerLetter"/>
      <w:lvlText w:val="%5."/>
      <w:lvlJc w:val="left"/>
      <w:pPr>
        <w:ind w:left="2970" w:hanging="360"/>
      </w:pPr>
    </w:lvl>
    <w:lvl w:ilvl="5" w:tentative="0">
      <w:start w:val="1"/>
      <w:numFmt w:val="lowerRoman"/>
      <w:lvlText w:val="%6."/>
      <w:lvlJc w:val="right"/>
      <w:pPr>
        <w:ind w:left="3690" w:hanging="180"/>
      </w:pPr>
    </w:lvl>
    <w:lvl w:ilvl="6" w:tentative="0">
      <w:start w:val="1"/>
      <w:numFmt w:val="decimal"/>
      <w:lvlText w:val="%7."/>
      <w:lvlJc w:val="left"/>
      <w:pPr>
        <w:ind w:left="4410" w:hanging="360"/>
      </w:pPr>
    </w:lvl>
    <w:lvl w:ilvl="7" w:tentative="0">
      <w:start w:val="1"/>
      <w:numFmt w:val="lowerLetter"/>
      <w:lvlText w:val="%8."/>
      <w:lvlJc w:val="left"/>
      <w:pPr>
        <w:ind w:left="5130" w:hanging="360"/>
      </w:pPr>
    </w:lvl>
    <w:lvl w:ilvl="8" w:tentative="0">
      <w:start w:val="1"/>
      <w:numFmt w:val="lowerRoman"/>
      <w:lvlText w:val="%9."/>
      <w:lvlJc w:val="right"/>
      <w:pPr>
        <w:ind w:left="5850" w:hanging="180"/>
      </w:pPr>
    </w:lvl>
  </w:abstractNum>
  <w:abstractNum w:abstractNumId="37">
    <w:nsid w:val="708C0B45"/>
    <w:multiLevelType w:val="multilevel"/>
    <w:tmpl w:val="708C0B4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8">
    <w:nsid w:val="7091286E"/>
    <w:multiLevelType w:val="multilevel"/>
    <w:tmpl w:val="7091286E"/>
    <w:lvl w:ilvl="0" w:tentative="0">
      <w:start w:val="10"/>
      <w:numFmt w:val="bullet"/>
      <w:lvlText w:val="-"/>
      <w:lvlJc w:val="left"/>
      <w:pPr>
        <w:ind w:left="720" w:hanging="360"/>
      </w:pPr>
      <w:rPr>
        <w:rFonts w:hint="default" w:ascii="Calibri" w:hAnsi="Calibri" w:cs="Calibri"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9">
    <w:nsid w:val="7D992AFD"/>
    <w:multiLevelType w:val="multilevel"/>
    <w:tmpl w:val="7D992AFD"/>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26"/>
  </w:num>
  <w:num w:numId="2">
    <w:abstractNumId w:val="5"/>
  </w:num>
  <w:num w:numId="3">
    <w:abstractNumId w:val="32"/>
  </w:num>
  <w:num w:numId="4">
    <w:abstractNumId w:val="3"/>
  </w:num>
  <w:num w:numId="5">
    <w:abstractNumId w:val="27"/>
  </w:num>
  <w:num w:numId="6">
    <w:abstractNumId w:val="33"/>
  </w:num>
  <w:num w:numId="7">
    <w:abstractNumId w:val="18"/>
  </w:num>
  <w:num w:numId="8">
    <w:abstractNumId w:val="25"/>
  </w:num>
  <w:num w:numId="9">
    <w:abstractNumId w:val="7"/>
  </w:num>
  <w:num w:numId="10">
    <w:abstractNumId w:val="29"/>
  </w:num>
  <w:num w:numId="11">
    <w:abstractNumId w:val="20"/>
  </w:num>
  <w:num w:numId="12">
    <w:abstractNumId w:val="6"/>
  </w:num>
  <w:num w:numId="13">
    <w:abstractNumId w:val="12"/>
  </w:num>
  <w:num w:numId="14">
    <w:abstractNumId w:val="37"/>
  </w:num>
  <w:num w:numId="15">
    <w:abstractNumId w:val="4"/>
  </w:num>
  <w:num w:numId="16">
    <w:abstractNumId w:val="36"/>
  </w:num>
  <w:num w:numId="17">
    <w:abstractNumId w:val="13"/>
  </w:num>
  <w:num w:numId="18">
    <w:abstractNumId w:val="8"/>
  </w:num>
  <w:num w:numId="19">
    <w:abstractNumId w:val="23"/>
  </w:num>
  <w:num w:numId="20">
    <w:abstractNumId w:val="16"/>
  </w:num>
  <w:num w:numId="21">
    <w:abstractNumId w:val="11"/>
  </w:num>
  <w:num w:numId="22">
    <w:abstractNumId w:val="17"/>
  </w:num>
  <w:num w:numId="23">
    <w:abstractNumId w:val="30"/>
  </w:num>
  <w:num w:numId="24">
    <w:abstractNumId w:val="22"/>
  </w:num>
  <w:num w:numId="25">
    <w:abstractNumId w:val="14"/>
  </w:num>
  <w:num w:numId="26">
    <w:abstractNumId w:val="19"/>
  </w:num>
  <w:num w:numId="27">
    <w:abstractNumId w:val="28"/>
  </w:num>
  <w:num w:numId="28">
    <w:abstractNumId w:val="2"/>
  </w:num>
  <w:num w:numId="29">
    <w:abstractNumId w:val="21"/>
  </w:num>
  <w:num w:numId="30">
    <w:abstractNumId w:val="39"/>
  </w:num>
  <w:num w:numId="31">
    <w:abstractNumId w:val="35"/>
  </w:num>
  <w:num w:numId="32">
    <w:abstractNumId w:val="31"/>
  </w:num>
  <w:num w:numId="33">
    <w:abstractNumId w:val="1"/>
  </w:num>
  <w:num w:numId="34">
    <w:abstractNumId w:val="24"/>
  </w:num>
  <w:num w:numId="35">
    <w:abstractNumId w:val="10"/>
  </w:num>
  <w:num w:numId="36">
    <w:abstractNumId w:val="34"/>
  </w:num>
  <w:num w:numId="37">
    <w:abstractNumId w:val="9"/>
  </w:num>
  <w:num w:numId="38">
    <w:abstractNumId w:val="15"/>
  </w:num>
  <w:num w:numId="39">
    <w:abstractNumId w:val="38"/>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hyphenationZone w:val="425"/>
  <w:characterSpacingControl w:val="doNotCompress"/>
  <w:footnotePr>
    <w:footnote w:id="4"/>
    <w:footnote w:id="5"/>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5ADC"/>
    <w:rsid w:val="000060CF"/>
    <w:rsid w:val="00017816"/>
    <w:rsid w:val="00030E6A"/>
    <w:rsid w:val="0004162F"/>
    <w:rsid w:val="000418C9"/>
    <w:rsid w:val="0006128C"/>
    <w:rsid w:val="000621E3"/>
    <w:rsid w:val="00063F43"/>
    <w:rsid w:val="00064ECA"/>
    <w:rsid w:val="00065AFA"/>
    <w:rsid w:val="000B6F19"/>
    <w:rsid w:val="000C7529"/>
    <w:rsid w:val="000D36AE"/>
    <w:rsid w:val="000E2D68"/>
    <w:rsid w:val="000F036E"/>
    <w:rsid w:val="000F0E45"/>
    <w:rsid w:val="000F7D53"/>
    <w:rsid w:val="00124E91"/>
    <w:rsid w:val="00125839"/>
    <w:rsid w:val="0019796D"/>
    <w:rsid w:val="001A0AFD"/>
    <w:rsid w:val="001A0E18"/>
    <w:rsid w:val="001D7CFD"/>
    <w:rsid w:val="001F5BC3"/>
    <w:rsid w:val="00200D40"/>
    <w:rsid w:val="00211B83"/>
    <w:rsid w:val="00215A72"/>
    <w:rsid w:val="00234B42"/>
    <w:rsid w:val="002358D6"/>
    <w:rsid w:val="00242253"/>
    <w:rsid w:val="002835E9"/>
    <w:rsid w:val="002A2E97"/>
    <w:rsid w:val="002A6804"/>
    <w:rsid w:val="002B40A9"/>
    <w:rsid w:val="002D4392"/>
    <w:rsid w:val="003255C0"/>
    <w:rsid w:val="00327D16"/>
    <w:rsid w:val="00345A77"/>
    <w:rsid w:val="00350BF5"/>
    <w:rsid w:val="003A4137"/>
    <w:rsid w:val="003B1F56"/>
    <w:rsid w:val="003C6C48"/>
    <w:rsid w:val="004138EC"/>
    <w:rsid w:val="0042312C"/>
    <w:rsid w:val="00433A0B"/>
    <w:rsid w:val="00480CEB"/>
    <w:rsid w:val="00493423"/>
    <w:rsid w:val="0049503A"/>
    <w:rsid w:val="004A53CE"/>
    <w:rsid w:val="004B2774"/>
    <w:rsid w:val="00505825"/>
    <w:rsid w:val="00514565"/>
    <w:rsid w:val="0051649A"/>
    <w:rsid w:val="00535A02"/>
    <w:rsid w:val="0055200A"/>
    <w:rsid w:val="00554844"/>
    <w:rsid w:val="005565F0"/>
    <w:rsid w:val="00580DCF"/>
    <w:rsid w:val="005949C6"/>
    <w:rsid w:val="005A3387"/>
    <w:rsid w:val="005A6003"/>
    <w:rsid w:val="005C1C59"/>
    <w:rsid w:val="005C4D68"/>
    <w:rsid w:val="005D2AFC"/>
    <w:rsid w:val="005F0A25"/>
    <w:rsid w:val="005F1FDA"/>
    <w:rsid w:val="005F7F42"/>
    <w:rsid w:val="00642BF2"/>
    <w:rsid w:val="00676B91"/>
    <w:rsid w:val="006866D0"/>
    <w:rsid w:val="006A48A6"/>
    <w:rsid w:val="006C3C2A"/>
    <w:rsid w:val="006E50CE"/>
    <w:rsid w:val="006F546D"/>
    <w:rsid w:val="007027EA"/>
    <w:rsid w:val="007124C0"/>
    <w:rsid w:val="00724A34"/>
    <w:rsid w:val="0072715A"/>
    <w:rsid w:val="00741F47"/>
    <w:rsid w:val="007500DD"/>
    <w:rsid w:val="00754FDF"/>
    <w:rsid w:val="007624AB"/>
    <w:rsid w:val="00772072"/>
    <w:rsid w:val="00780240"/>
    <w:rsid w:val="00794344"/>
    <w:rsid w:val="007C060C"/>
    <w:rsid w:val="007F19C2"/>
    <w:rsid w:val="007F4999"/>
    <w:rsid w:val="00887098"/>
    <w:rsid w:val="00894C22"/>
    <w:rsid w:val="008A1229"/>
    <w:rsid w:val="008A2DFE"/>
    <w:rsid w:val="008B6589"/>
    <w:rsid w:val="008C5ADC"/>
    <w:rsid w:val="008E0A82"/>
    <w:rsid w:val="008F5D81"/>
    <w:rsid w:val="0092261A"/>
    <w:rsid w:val="00940A3E"/>
    <w:rsid w:val="00942564"/>
    <w:rsid w:val="00956B09"/>
    <w:rsid w:val="00973287"/>
    <w:rsid w:val="00973C08"/>
    <w:rsid w:val="00976157"/>
    <w:rsid w:val="009923A8"/>
    <w:rsid w:val="009B03C5"/>
    <w:rsid w:val="009D10F5"/>
    <w:rsid w:val="009D4413"/>
    <w:rsid w:val="009E542D"/>
    <w:rsid w:val="009F3064"/>
    <w:rsid w:val="00A16D1A"/>
    <w:rsid w:val="00A250DD"/>
    <w:rsid w:val="00A33E98"/>
    <w:rsid w:val="00A541CE"/>
    <w:rsid w:val="00A61857"/>
    <w:rsid w:val="00A65895"/>
    <w:rsid w:val="00A7433C"/>
    <w:rsid w:val="00AA5F25"/>
    <w:rsid w:val="00AB3B4C"/>
    <w:rsid w:val="00AB6578"/>
    <w:rsid w:val="00AC4318"/>
    <w:rsid w:val="00AD694D"/>
    <w:rsid w:val="00AF7B48"/>
    <w:rsid w:val="00B055F5"/>
    <w:rsid w:val="00B06DBF"/>
    <w:rsid w:val="00B240AA"/>
    <w:rsid w:val="00B25036"/>
    <w:rsid w:val="00B456F8"/>
    <w:rsid w:val="00B45AE7"/>
    <w:rsid w:val="00B51368"/>
    <w:rsid w:val="00B55421"/>
    <w:rsid w:val="00B80004"/>
    <w:rsid w:val="00BA176E"/>
    <w:rsid w:val="00BA3B0D"/>
    <w:rsid w:val="00BA6611"/>
    <w:rsid w:val="00BC59B0"/>
    <w:rsid w:val="00BF0066"/>
    <w:rsid w:val="00BF2FE9"/>
    <w:rsid w:val="00C406C0"/>
    <w:rsid w:val="00C759FE"/>
    <w:rsid w:val="00C95E5E"/>
    <w:rsid w:val="00CB029A"/>
    <w:rsid w:val="00CB12D8"/>
    <w:rsid w:val="00CC4C3C"/>
    <w:rsid w:val="00CE5D2D"/>
    <w:rsid w:val="00CF2D8F"/>
    <w:rsid w:val="00D06FBA"/>
    <w:rsid w:val="00D32B99"/>
    <w:rsid w:val="00D6230D"/>
    <w:rsid w:val="00D71EAB"/>
    <w:rsid w:val="00D82183"/>
    <w:rsid w:val="00DA5C56"/>
    <w:rsid w:val="00DC01C8"/>
    <w:rsid w:val="00DC3C8E"/>
    <w:rsid w:val="00DF2B0C"/>
    <w:rsid w:val="00E00480"/>
    <w:rsid w:val="00E00699"/>
    <w:rsid w:val="00E0660F"/>
    <w:rsid w:val="00E1540A"/>
    <w:rsid w:val="00E15A21"/>
    <w:rsid w:val="00E165EC"/>
    <w:rsid w:val="00E20A8C"/>
    <w:rsid w:val="00E21AD8"/>
    <w:rsid w:val="00E26A30"/>
    <w:rsid w:val="00E439CE"/>
    <w:rsid w:val="00EC0F91"/>
    <w:rsid w:val="00EC2A0C"/>
    <w:rsid w:val="00ED14DF"/>
    <w:rsid w:val="00EE054A"/>
    <w:rsid w:val="00EF122B"/>
    <w:rsid w:val="00F0118C"/>
    <w:rsid w:val="00F1423C"/>
    <w:rsid w:val="00F23F40"/>
    <w:rsid w:val="00F25BC7"/>
    <w:rsid w:val="00F83432"/>
    <w:rsid w:val="00F873C3"/>
    <w:rsid w:val="00F91B00"/>
    <w:rsid w:val="00FC6DCF"/>
    <w:rsid w:val="00FD239F"/>
    <w:rsid w:val="00FD7C38"/>
    <w:rsid w:val="00FE11F7"/>
    <w:rsid w:val="00FE3C2F"/>
    <w:rsid w:val="10C55CB1"/>
    <w:rsid w:val="1AA22CEE"/>
    <w:rsid w:val="44E710DF"/>
    <w:rsid w:val="798C7119"/>
  </w:rsids>
  <m:mathPr>
    <m:mathFont m:val="Cambria Math"/>
    <m:brkBin m:val="before"/>
    <m:brkBinSub m:val="--"/>
    <m:smallFrac m:val="0"/>
    <m:dispDef/>
    <m:lMargin m:val="0"/>
    <m:rMargin m:val="0"/>
    <m:defJc m:val="centerGroup"/>
    <m:wrapIndent m:val="1440"/>
    <m:intLim m:val="subSup"/>
    <m:naryLim m:val="undOvr"/>
  </m:mathPr>
  <w:themeFontLang w:val="ro"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qFormat="1" w:uiPriority="99" w:semiHidden="0" w:name="annotation text"/>
    <w:lsdException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kern w:val="0"/>
      <w:sz w:val="22"/>
      <w:szCs w:val="22"/>
      <w:lang w:val="ro"/>
      <w14:ligatures w14:val="none"/>
    </w:rPr>
  </w:style>
  <w:style w:type="paragraph" w:styleId="2">
    <w:name w:val="heading 1"/>
    <w:basedOn w:val="1"/>
    <w:next w:val="1"/>
    <w:link w:val="26"/>
    <w:qFormat/>
    <w:uiPriority w:val="9"/>
    <w:pPr>
      <w:keepNext/>
      <w:keepLines/>
      <w:spacing w:before="360" w:after="80"/>
      <w:outlineLvl w:val="0"/>
    </w:pPr>
    <w:rPr>
      <w:rFonts w:asciiTheme="majorHAnsi" w:hAnsiTheme="majorHAnsi" w:eastAsiaTheme="majorEastAsia" w:cstheme="majorBidi"/>
      <w:color w:val="104862" w:themeColor="accent1" w:themeShade="BF"/>
      <w:sz w:val="40"/>
      <w:szCs w:val="40"/>
    </w:rPr>
  </w:style>
  <w:style w:type="paragraph" w:styleId="3">
    <w:name w:val="heading 2"/>
    <w:basedOn w:val="1"/>
    <w:next w:val="1"/>
    <w:link w:val="27"/>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32"/>
      <w:szCs w:val="32"/>
    </w:rPr>
  </w:style>
  <w:style w:type="paragraph" w:styleId="4">
    <w:name w:val="heading 3"/>
    <w:basedOn w:val="1"/>
    <w:next w:val="1"/>
    <w:link w:val="28"/>
    <w:unhideWhenUsed/>
    <w:qFormat/>
    <w:uiPriority w:val="9"/>
    <w:pPr>
      <w:keepNext/>
      <w:keepLines/>
      <w:spacing w:before="160" w:after="80"/>
      <w:outlineLvl w:val="2"/>
    </w:pPr>
    <w:rPr>
      <w:rFonts w:eastAsiaTheme="majorEastAsia" w:cstheme="majorBidi"/>
      <w:color w:val="104862" w:themeColor="accent1" w:themeShade="BF"/>
      <w:sz w:val="28"/>
      <w:szCs w:val="28"/>
    </w:rPr>
  </w:style>
  <w:style w:type="paragraph" w:styleId="5">
    <w:name w:val="heading 4"/>
    <w:basedOn w:val="1"/>
    <w:next w:val="1"/>
    <w:link w:val="29"/>
    <w:semiHidden/>
    <w:unhideWhenUsed/>
    <w:qFormat/>
    <w:uiPriority w:val="9"/>
    <w:pPr>
      <w:keepNext/>
      <w:keepLines/>
      <w:spacing w:before="80" w:after="40"/>
      <w:outlineLvl w:val="3"/>
    </w:pPr>
    <w:rPr>
      <w:rFonts w:eastAsiaTheme="majorEastAsia" w:cstheme="majorBidi"/>
      <w:i/>
      <w:iCs/>
      <w:color w:val="104862" w:themeColor="accent1" w:themeShade="BF"/>
    </w:rPr>
  </w:style>
  <w:style w:type="paragraph" w:styleId="6">
    <w:name w:val="heading 5"/>
    <w:basedOn w:val="1"/>
    <w:next w:val="1"/>
    <w:link w:val="30"/>
    <w:semiHidden/>
    <w:unhideWhenUsed/>
    <w:qFormat/>
    <w:uiPriority w:val="9"/>
    <w:pPr>
      <w:keepNext/>
      <w:keepLines/>
      <w:spacing w:before="80" w:after="40"/>
      <w:outlineLvl w:val="4"/>
    </w:pPr>
    <w:rPr>
      <w:rFonts w:eastAsiaTheme="majorEastAsia" w:cstheme="majorBidi"/>
      <w:color w:val="104862" w:themeColor="accent1" w:themeShade="BF"/>
    </w:rPr>
  </w:style>
  <w:style w:type="paragraph" w:styleId="7">
    <w:name w:val="heading 6"/>
    <w:basedOn w:val="1"/>
    <w:next w:val="1"/>
    <w:link w:val="31"/>
    <w:semiHidden/>
    <w:unhideWhenUsed/>
    <w:qFormat/>
    <w:uiPriority w:val="9"/>
    <w:pPr>
      <w:keepNext/>
      <w:keepLines/>
      <w:spacing w:before="40" w:after="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32"/>
    <w:semiHidden/>
    <w:unhideWhenUsed/>
    <w:qFormat/>
    <w:uiPriority w:val="9"/>
    <w:pPr>
      <w:keepNext/>
      <w:keepLines/>
      <w:spacing w:before="40" w:after="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33"/>
    <w:semiHidden/>
    <w:unhideWhenUsed/>
    <w:qFormat/>
    <w:uiPriority w:val="9"/>
    <w:pPr>
      <w:keepNext/>
      <w:keepLines/>
      <w:spacing w:after="0"/>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34"/>
    <w:semiHidden/>
    <w:unhideWhenUsed/>
    <w:qFormat/>
    <w:uiPriority w:val="9"/>
    <w:pPr>
      <w:keepNext/>
      <w:keepLines/>
      <w:spacing w:after="0"/>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Body Text Indent"/>
    <w:basedOn w:val="1"/>
    <w:link w:val="51"/>
    <w:unhideWhenUsed/>
    <w:qFormat/>
    <w:uiPriority w:val="0"/>
    <w:pPr>
      <w:spacing w:after="120" w:line="240" w:lineRule="auto"/>
      <w:ind w:left="360"/>
    </w:pPr>
    <w:rPr>
      <w:rFonts w:ascii="Times New Roman" w:hAnsi="Times New Roman" w:eastAsia="Times New Roman" w:cs="Times New Roman"/>
      <w:sz w:val="24"/>
      <w:szCs w:val="24"/>
    </w:rPr>
  </w:style>
  <w:style w:type="character" w:styleId="14">
    <w:name w:val="annotation reference"/>
    <w:basedOn w:val="11"/>
    <w:unhideWhenUsed/>
    <w:qFormat/>
    <w:uiPriority w:val="99"/>
    <w:rPr>
      <w:sz w:val="16"/>
      <w:szCs w:val="16"/>
    </w:rPr>
  </w:style>
  <w:style w:type="paragraph" w:styleId="15">
    <w:name w:val="annotation text"/>
    <w:basedOn w:val="1"/>
    <w:link w:val="48"/>
    <w:unhideWhenUsed/>
    <w:qFormat/>
    <w:uiPriority w:val="99"/>
    <w:pPr>
      <w:spacing w:line="240" w:lineRule="auto"/>
    </w:pPr>
    <w:rPr>
      <w:sz w:val="20"/>
      <w:szCs w:val="20"/>
    </w:rPr>
  </w:style>
  <w:style w:type="paragraph" w:styleId="16">
    <w:name w:val="annotation subject"/>
    <w:basedOn w:val="15"/>
    <w:next w:val="15"/>
    <w:link w:val="49"/>
    <w:semiHidden/>
    <w:unhideWhenUsed/>
    <w:qFormat/>
    <w:uiPriority w:val="99"/>
    <w:rPr>
      <w:b/>
      <w:bCs/>
    </w:rPr>
  </w:style>
  <w:style w:type="paragraph" w:styleId="17">
    <w:name w:val="footer"/>
    <w:basedOn w:val="1"/>
    <w:link w:val="46"/>
    <w:unhideWhenUsed/>
    <w:qFormat/>
    <w:uiPriority w:val="99"/>
    <w:pPr>
      <w:tabs>
        <w:tab w:val="center" w:pos="4680"/>
        <w:tab w:val="right" w:pos="9360"/>
      </w:tabs>
      <w:spacing w:after="0" w:line="240" w:lineRule="auto"/>
    </w:pPr>
  </w:style>
  <w:style w:type="character" w:styleId="18">
    <w:name w:val="footnote reference"/>
    <w:basedOn w:val="11"/>
    <w:link w:val="19"/>
    <w:unhideWhenUsed/>
    <w:qFormat/>
    <w:uiPriority w:val="99"/>
    <w:rPr>
      <w:vertAlign w:val="superscript"/>
    </w:rPr>
  </w:style>
  <w:style w:type="paragraph" w:customStyle="1" w:styleId="19">
    <w:name w:val="BVI fnr Char1 Char"/>
    <w:basedOn w:val="1"/>
    <w:next w:val="1"/>
    <w:link w:val="18"/>
    <w:qFormat/>
    <w:uiPriority w:val="99"/>
    <w:pPr>
      <w:spacing w:line="240" w:lineRule="exact"/>
    </w:pPr>
    <w:rPr>
      <w:kern w:val="2"/>
      <w:vertAlign w:val="superscript"/>
      <w14:ligatures w14:val="standardContextual"/>
    </w:rPr>
  </w:style>
  <w:style w:type="paragraph" w:styleId="20">
    <w:name w:val="footnote text"/>
    <w:basedOn w:val="1"/>
    <w:link w:val="44"/>
    <w:unhideWhenUsed/>
    <w:qFormat/>
    <w:uiPriority w:val="99"/>
    <w:pPr>
      <w:spacing w:after="0" w:line="240" w:lineRule="auto"/>
    </w:pPr>
    <w:rPr>
      <w:rFonts w:ascii="Times New Roman" w:hAnsi="Times New Roman" w:eastAsia="Times New Roman" w:cs="Times New Roman"/>
      <w:sz w:val="20"/>
      <w:szCs w:val="20"/>
    </w:rPr>
  </w:style>
  <w:style w:type="character" w:styleId="21">
    <w:name w:val="Hyperlink"/>
    <w:basedOn w:val="11"/>
    <w:unhideWhenUsed/>
    <w:qFormat/>
    <w:uiPriority w:val="99"/>
    <w:rPr>
      <w:color w:val="467886" w:themeColor="hyperlink"/>
      <w:u w:val="single"/>
      <w14:textFill>
        <w14:solidFill>
          <w14:schemeClr w14:val="hlink"/>
        </w14:solidFill>
      </w14:textFill>
    </w:rPr>
  </w:style>
  <w:style w:type="paragraph" w:styleId="22">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styleId="23">
    <w:name w:val="Subtitle"/>
    <w:basedOn w:val="1"/>
    <w:next w:val="1"/>
    <w:link w:val="36"/>
    <w:qFormat/>
    <w:uiPriority w:val="11"/>
    <w:rPr>
      <w:rFonts w:eastAsiaTheme="majorEastAsia" w:cstheme="majorBidi"/>
      <w:color w:val="595959" w:themeColor="text1" w:themeTint="A6"/>
      <w:sz w:val="28"/>
      <w:szCs w:val="28"/>
      <w14:textFill>
        <w14:solidFill>
          <w14:schemeClr w14:val="tx1">
            <w14:lumMod w14:val="65000"/>
            <w14:lumOff w14:val="35000"/>
          </w14:schemeClr>
        </w14:solidFill>
      </w14:textFill>
    </w:rPr>
  </w:style>
  <w:style w:type="table" w:styleId="24">
    <w:name w:val="Table Grid"/>
    <w:basedOn w:val="12"/>
    <w:qFormat/>
    <w:uiPriority w:val="3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5">
    <w:name w:val="Title"/>
    <w:basedOn w:val="1"/>
    <w:next w:val="1"/>
    <w:link w:val="35"/>
    <w:qFormat/>
    <w:uiPriority w:val="10"/>
    <w:pPr>
      <w:spacing w:after="80" w:line="240" w:lineRule="auto"/>
      <w:contextualSpacing/>
    </w:pPr>
    <w:rPr>
      <w:rFonts w:asciiTheme="majorHAnsi" w:hAnsiTheme="majorHAnsi" w:eastAsiaTheme="majorEastAsia" w:cstheme="majorBidi"/>
      <w:kern w:val="28"/>
      <w:sz w:val="56"/>
      <w:szCs w:val="56"/>
    </w:rPr>
  </w:style>
  <w:style w:type="character" w:customStyle="1" w:styleId="26">
    <w:name w:val="Heading 1 Char"/>
    <w:basedOn w:val="11"/>
    <w:link w:val="2"/>
    <w:qFormat/>
    <w:uiPriority w:val="9"/>
    <w:rPr>
      <w:rFonts w:asciiTheme="majorHAnsi" w:hAnsiTheme="majorHAnsi" w:eastAsiaTheme="majorEastAsia" w:cstheme="majorBidi"/>
      <w:color w:val="104862" w:themeColor="accent1" w:themeShade="BF"/>
      <w:sz w:val="40"/>
      <w:szCs w:val="40"/>
    </w:rPr>
  </w:style>
  <w:style w:type="character" w:customStyle="1" w:styleId="27">
    <w:name w:val="Heading 2 Char"/>
    <w:basedOn w:val="11"/>
    <w:link w:val="3"/>
    <w:qFormat/>
    <w:uiPriority w:val="9"/>
    <w:rPr>
      <w:rFonts w:asciiTheme="majorHAnsi" w:hAnsiTheme="majorHAnsi" w:eastAsiaTheme="majorEastAsia" w:cstheme="majorBidi"/>
      <w:color w:val="104862" w:themeColor="accent1" w:themeShade="BF"/>
      <w:sz w:val="32"/>
      <w:szCs w:val="32"/>
    </w:rPr>
  </w:style>
  <w:style w:type="character" w:customStyle="1" w:styleId="28">
    <w:name w:val="Heading 3 Char"/>
    <w:basedOn w:val="11"/>
    <w:link w:val="4"/>
    <w:qFormat/>
    <w:uiPriority w:val="9"/>
    <w:rPr>
      <w:rFonts w:eastAsiaTheme="majorEastAsia" w:cstheme="majorBidi"/>
      <w:color w:val="104862" w:themeColor="accent1" w:themeShade="BF"/>
      <w:sz w:val="28"/>
      <w:szCs w:val="28"/>
    </w:rPr>
  </w:style>
  <w:style w:type="character" w:customStyle="1" w:styleId="29">
    <w:name w:val="Heading 4 Char"/>
    <w:basedOn w:val="11"/>
    <w:link w:val="5"/>
    <w:semiHidden/>
    <w:qFormat/>
    <w:uiPriority w:val="9"/>
    <w:rPr>
      <w:rFonts w:eastAsiaTheme="majorEastAsia" w:cstheme="majorBidi"/>
      <w:i/>
      <w:iCs/>
      <w:color w:val="104862" w:themeColor="accent1" w:themeShade="BF"/>
    </w:rPr>
  </w:style>
  <w:style w:type="character" w:customStyle="1" w:styleId="30">
    <w:name w:val="Heading 5 Char"/>
    <w:basedOn w:val="11"/>
    <w:link w:val="6"/>
    <w:semiHidden/>
    <w:qFormat/>
    <w:uiPriority w:val="9"/>
    <w:rPr>
      <w:rFonts w:eastAsiaTheme="majorEastAsia" w:cstheme="majorBidi"/>
      <w:color w:val="104862" w:themeColor="accent1" w:themeShade="BF"/>
    </w:rPr>
  </w:style>
  <w:style w:type="character" w:customStyle="1" w:styleId="31">
    <w:name w:val="Heading 6 Char"/>
    <w:basedOn w:val="11"/>
    <w:link w:val="7"/>
    <w:semiHidden/>
    <w:qFormat/>
    <w:uiPriority w:val="9"/>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32">
    <w:name w:val="Heading 7 Char"/>
    <w:basedOn w:val="11"/>
    <w:link w:val="8"/>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3">
    <w:name w:val="Heading 8 Char"/>
    <w:basedOn w:val="11"/>
    <w:link w:val="9"/>
    <w:semiHidden/>
    <w:qFormat/>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34">
    <w:name w:val="Heading 9 Char"/>
    <w:basedOn w:val="11"/>
    <w:link w:val="10"/>
    <w:semiHidden/>
    <w:qFormat/>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35">
    <w:name w:val="Title Char"/>
    <w:basedOn w:val="11"/>
    <w:link w:val="25"/>
    <w:qFormat/>
    <w:uiPriority w:val="10"/>
    <w:rPr>
      <w:rFonts w:asciiTheme="majorHAnsi" w:hAnsiTheme="majorHAnsi" w:eastAsiaTheme="majorEastAsia" w:cstheme="majorBidi"/>
      <w:kern w:val="28"/>
      <w:sz w:val="56"/>
      <w:szCs w:val="56"/>
    </w:rPr>
  </w:style>
  <w:style w:type="character" w:customStyle="1" w:styleId="36">
    <w:name w:val="Subtitle Char"/>
    <w:basedOn w:val="11"/>
    <w:link w:val="23"/>
    <w:qFormat/>
    <w:uiPriority w:val="11"/>
    <w:rPr>
      <w:rFonts w:eastAsiaTheme="majorEastAsia" w:cstheme="majorBidi"/>
      <w:color w:val="595959" w:themeColor="text1" w:themeTint="A6"/>
      <w:sz w:val="28"/>
      <w:szCs w:val="28"/>
      <w14:textFill>
        <w14:solidFill>
          <w14:schemeClr w14:val="tx1">
            <w14:lumMod w14:val="65000"/>
            <w14:lumOff w14:val="35000"/>
          </w14:schemeClr>
        </w14:solidFill>
      </w14:textFill>
    </w:rPr>
  </w:style>
  <w:style w:type="paragraph" w:styleId="37">
    <w:name w:val="Quote"/>
    <w:basedOn w:val="1"/>
    <w:next w:val="1"/>
    <w:link w:val="38"/>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38">
    <w:name w:val="Quote Char"/>
    <w:basedOn w:val="11"/>
    <w:link w:val="37"/>
    <w:qFormat/>
    <w:uiPriority w:val="29"/>
    <w:rPr>
      <w:i/>
      <w:iCs/>
      <w:color w:val="404040" w:themeColor="text1" w:themeTint="BF"/>
      <w14:textFill>
        <w14:solidFill>
          <w14:schemeClr w14:val="tx1">
            <w14:lumMod w14:val="75000"/>
            <w14:lumOff w14:val="25000"/>
          </w14:schemeClr>
        </w14:solidFill>
      </w14:textFill>
    </w:rPr>
  </w:style>
  <w:style w:type="paragraph" w:styleId="39">
    <w:name w:val="List Paragraph"/>
    <w:basedOn w:val="1"/>
    <w:link w:val="45"/>
    <w:qFormat/>
    <w:uiPriority w:val="34"/>
    <w:pPr>
      <w:ind w:left="720"/>
      <w:contextualSpacing/>
    </w:pPr>
  </w:style>
  <w:style w:type="character" w:customStyle="1" w:styleId="40">
    <w:name w:val="Intense Emphasis"/>
    <w:basedOn w:val="11"/>
    <w:qFormat/>
    <w:uiPriority w:val="21"/>
    <w:rPr>
      <w:i/>
      <w:iCs/>
      <w:color w:val="104862" w:themeColor="accent1" w:themeShade="BF"/>
    </w:rPr>
  </w:style>
  <w:style w:type="paragraph" w:styleId="41">
    <w:name w:val="Intense Quote"/>
    <w:basedOn w:val="1"/>
    <w:next w:val="1"/>
    <w:link w:val="42"/>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42">
    <w:name w:val="Intense Quote Char"/>
    <w:basedOn w:val="11"/>
    <w:link w:val="41"/>
    <w:qFormat/>
    <w:uiPriority w:val="30"/>
    <w:rPr>
      <w:i/>
      <w:iCs/>
      <w:color w:val="104862" w:themeColor="accent1" w:themeShade="BF"/>
    </w:rPr>
  </w:style>
  <w:style w:type="character" w:customStyle="1" w:styleId="43">
    <w:name w:val="Intense Reference"/>
    <w:basedOn w:val="11"/>
    <w:qFormat/>
    <w:uiPriority w:val="32"/>
    <w:rPr>
      <w:b/>
      <w:bCs/>
      <w:smallCaps/>
      <w:color w:val="104862" w:themeColor="accent1" w:themeShade="BF"/>
    </w:rPr>
  </w:style>
  <w:style w:type="character" w:customStyle="1" w:styleId="44">
    <w:name w:val="Footnote Text Char"/>
    <w:basedOn w:val="11"/>
    <w:link w:val="20"/>
    <w:qFormat/>
    <w:uiPriority w:val="99"/>
    <w:rPr>
      <w:rFonts w:ascii="Times New Roman" w:hAnsi="Times New Roman" w:eastAsia="Times New Roman" w:cs="Times New Roman"/>
      <w:kern w:val="0"/>
      <w:sz w:val="20"/>
      <w:szCs w:val="20"/>
      <w14:ligatures w14:val="none"/>
    </w:rPr>
  </w:style>
  <w:style w:type="character" w:customStyle="1" w:styleId="45">
    <w:name w:val="List Paragraph Char"/>
    <w:link w:val="39"/>
    <w:qFormat/>
    <w:uiPriority w:val="34"/>
  </w:style>
  <w:style w:type="character" w:customStyle="1" w:styleId="46">
    <w:name w:val="Footer Char"/>
    <w:basedOn w:val="11"/>
    <w:link w:val="17"/>
    <w:qFormat/>
    <w:uiPriority w:val="99"/>
    <w:rPr>
      <w:kern w:val="0"/>
      <w14:ligatures w14:val="none"/>
    </w:rPr>
  </w:style>
  <w:style w:type="paragraph" w:customStyle="1" w:styleId="47">
    <w:name w:val="Revision"/>
    <w:hidden/>
    <w:semiHidden/>
    <w:qFormat/>
    <w:uiPriority w:val="99"/>
    <w:pPr>
      <w:spacing w:after="0" w:line="240" w:lineRule="auto"/>
    </w:pPr>
    <w:rPr>
      <w:rFonts w:asciiTheme="minorHAnsi" w:hAnsiTheme="minorHAnsi" w:eastAsiaTheme="minorHAnsi" w:cstheme="minorBidi"/>
      <w:kern w:val="0"/>
      <w:sz w:val="22"/>
      <w:szCs w:val="22"/>
      <w:lang w:val="ro"/>
      <w14:ligatures w14:val="none"/>
    </w:rPr>
  </w:style>
  <w:style w:type="character" w:customStyle="1" w:styleId="48">
    <w:name w:val="Comment Text Char"/>
    <w:basedOn w:val="11"/>
    <w:link w:val="15"/>
    <w:qFormat/>
    <w:uiPriority w:val="99"/>
    <w:rPr>
      <w:kern w:val="0"/>
      <w:sz w:val="20"/>
      <w:szCs w:val="20"/>
      <w14:ligatures w14:val="none"/>
    </w:rPr>
  </w:style>
  <w:style w:type="character" w:customStyle="1" w:styleId="49">
    <w:name w:val="Comment Subject Char"/>
    <w:basedOn w:val="48"/>
    <w:link w:val="16"/>
    <w:semiHidden/>
    <w:qFormat/>
    <w:uiPriority w:val="99"/>
    <w:rPr>
      <w:b/>
      <w:bCs/>
      <w:kern w:val="0"/>
      <w:sz w:val="20"/>
      <w:szCs w:val="20"/>
      <w14:ligatures w14:val="none"/>
    </w:rPr>
  </w:style>
  <w:style w:type="paragraph" w:customStyle="1" w:styleId="50">
    <w:name w:val="ftref Char1"/>
    <w:basedOn w:val="1"/>
    <w:qFormat/>
    <w:uiPriority w:val="99"/>
    <w:pPr>
      <w:spacing w:after="0" w:line="240" w:lineRule="exact"/>
    </w:pPr>
    <w:rPr>
      <w:vertAlign w:val="superscript"/>
    </w:rPr>
  </w:style>
  <w:style w:type="character" w:customStyle="1" w:styleId="51">
    <w:name w:val="Body Text Indent Char"/>
    <w:basedOn w:val="11"/>
    <w:link w:val="13"/>
    <w:qFormat/>
    <w:uiPriority w:val="0"/>
    <w:rPr>
      <w:rFonts w:ascii="Times New Roman" w:hAnsi="Times New Roman" w:eastAsia="Times New Roman" w:cs="Times New Roman"/>
      <w:kern w:val="0"/>
      <w:sz w:val="24"/>
      <w:szCs w:val="24"/>
      <w14:ligatures w14:val="none"/>
    </w:rPr>
  </w:style>
  <w:style w:type="paragraph" w:customStyle="1" w:styleId="52">
    <w:name w:val="Default"/>
    <w:qFormat/>
    <w:uiPriority w:val="0"/>
    <w:pPr>
      <w:autoSpaceDE w:val="0"/>
      <w:autoSpaceDN w:val="0"/>
      <w:adjustRightInd w:val="0"/>
      <w:spacing w:after="0" w:line="240" w:lineRule="auto"/>
    </w:pPr>
    <w:rPr>
      <w:rFonts w:ascii="Calibri" w:hAnsi="Calibri" w:cs="Calibri" w:eastAsiaTheme="minorHAnsi"/>
      <w:color w:val="000000"/>
      <w:kern w:val="0"/>
      <w:sz w:val="24"/>
      <w:szCs w:val="24"/>
      <w:lang w:val="ro"/>
      <w14:ligatures w14:val="standardContextual"/>
    </w:rPr>
  </w:style>
  <w:style w:type="character" w:customStyle="1" w:styleId="53">
    <w:name w:val="Unresolved Mention"/>
    <w:basedOn w:val="11"/>
    <w:semiHidden/>
    <w:unhideWhenUsed/>
    <w:qFormat/>
    <w:uiPriority w:val="99"/>
    <w:rPr>
      <w:color w:val="605E5C"/>
      <w:shd w:val="clear" w:color="auto" w:fill="E1DFDD"/>
    </w:rPr>
  </w:style>
  <w:style w:type="paragraph" w:customStyle="1" w:styleId="54">
    <w:name w:val="P68B1DB1-11"/>
    <w:basedOn w:val="1"/>
    <w:qFormat/>
    <w:uiPriority w:val="0"/>
    <w:rPr>
      <w:rFonts w:ascii="Times New Roman" w:hAnsi="Times New Roman" w:cs="Times New Roman"/>
      <w:b/>
      <w:sz w:val="24"/>
      <w:szCs w:val="24"/>
    </w:rPr>
  </w:style>
  <w:style w:type="paragraph" w:customStyle="1" w:styleId="55">
    <w:name w:val="P68B1DB1-42"/>
    <w:basedOn w:val="4"/>
    <w:uiPriority w:val="0"/>
    <w:rPr>
      <w:rFonts w:ascii="Times New Roman" w:hAnsi="Times New Roman" w:eastAsia="Times New Roman" w:cs="Times New Roman"/>
      <w:b/>
      <w:caps/>
    </w:rPr>
  </w:style>
  <w:style w:type="paragraph" w:customStyle="1" w:styleId="56">
    <w:name w:val="P68B1DB1-43"/>
    <w:basedOn w:val="4"/>
    <w:qFormat/>
    <w:uiPriority w:val="0"/>
    <w:rPr>
      <w:rFonts w:ascii="Times New Roman" w:hAnsi="Times New Roman" w:eastAsia="Times New Roman" w:cs="Times New Roman"/>
      <w:b/>
    </w:rPr>
  </w:style>
  <w:style w:type="paragraph" w:customStyle="1" w:styleId="57">
    <w:name w:val="P68B1DB1-14"/>
    <w:basedOn w:val="1"/>
    <w:uiPriority w:val="0"/>
    <w:rPr>
      <w:rFonts w:ascii="Times New Roman" w:hAnsi="Times New Roman" w:cs="Times New Roman"/>
      <w:b/>
    </w:rPr>
  </w:style>
  <w:style w:type="paragraph" w:customStyle="1" w:styleId="58">
    <w:name w:val="P68B1DB1-25"/>
    <w:basedOn w:val="2"/>
    <w:qFormat/>
    <w:uiPriority w:val="0"/>
    <w:rPr>
      <w:rFonts w:ascii="Times New Roman" w:hAnsi="Times New Roman" w:eastAsia="Times New Roman" w:cs="Times New Roman"/>
      <w:b/>
      <w:caps/>
      <w:color w:val="auto"/>
      <w:sz w:val="24"/>
      <w:szCs w:val="24"/>
    </w:rPr>
  </w:style>
  <w:style w:type="paragraph" w:customStyle="1" w:styleId="59">
    <w:name w:val="P68B1DB1-16"/>
    <w:basedOn w:val="1"/>
    <w:qFormat/>
    <w:uiPriority w:val="0"/>
    <w:rPr>
      <w:rFonts w:ascii="Times New Roman" w:hAnsi="Times New Roman" w:cs="Times New Roman"/>
    </w:rPr>
  </w:style>
  <w:style w:type="paragraph" w:customStyle="1" w:styleId="60">
    <w:name w:val="P68B1DB1-17"/>
    <w:basedOn w:val="1"/>
    <w:qFormat/>
    <w:uiPriority w:val="0"/>
    <w:rPr>
      <w:rFonts w:ascii="Times New Roman" w:hAnsi="Times New Roman"/>
    </w:rPr>
  </w:style>
  <w:style w:type="paragraph" w:customStyle="1" w:styleId="61">
    <w:name w:val="P68B1DB1-18"/>
    <w:basedOn w:val="1"/>
    <w:uiPriority w:val="0"/>
    <w:rPr>
      <w:rFonts w:ascii="Times New Roman" w:hAnsi="Times New Roman" w:cs="Times New Roman"/>
      <w:color w:val="000000"/>
    </w:rPr>
  </w:style>
  <w:style w:type="paragraph" w:customStyle="1" w:styleId="62">
    <w:name w:val="P68B1DB1-229"/>
    <w:basedOn w:val="22"/>
    <w:uiPriority w:val="0"/>
    <w:rPr>
      <w:b/>
      <w:sz w:val="22"/>
      <w:szCs w:val="22"/>
    </w:rPr>
  </w:style>
  <w:style w:type="paragraph" w:customStyle="1" w:styleId="63">
    <w:name w:val="P68B1DB1-310"/>
    <w:basedOn w:val="3"/>
    <w:uiPriority w:val="0"/>
    <w:rPr>
      <w:rFonts w:ascii="Times New Roman" w:hAnsi="Times New Roman" w:cs="Times New Roman"/>
      <w:b/>
      <w:color w:val="auto"/>
      <w:sz w:val="22"/>
      <w:szCs w:val="22"/>
    </w:rPr>
  </w:style>
  <w:style w:type="paragraph" w:customStyle="1" w:styleId="64">
    <w:name w:val="P68B1DB1-411"/>
    <w:basedOn w:val="4"/>
    <w:uiPriority w:val="0"/>
    <w:rPr>
      <w:rFonts w:ascii="Times New Roman" w:hAnsi="Times New Roman" w:cs="Times New Roman"/>
      <w:b/>
      <w:color w:val="auto"/>
      <w:sz w:val="22"/>
      <w:szCs w:val="22"/>
    </w:rPr>
  </w:style>
  <w:style w:type="paragraph" w:customStyle="1" w:styleId="65">
    <w:name w:val="P68B1DB1-112"/>
    <w:basedOn w:val="1"/>
    <w:uiPriority w:val="0"/>
    <w:rPr>
      <w:rFonts w:ascii="Times New Roman" w:hAnsi="Times New Roman" w:eastAsia="Times New Roman" w:cs="Times New Roman"/>
    </w:rPr>
  </w:style>
  <w:style w:type="paragraph" w:customStyle="1" w:styleId="66">
    <w:name w:val="P68B1DB1-113"/>
    <w:basedOn w:val="1"/>
    <w:uiPriority w:val="0"/>
    <w:rPr>
      <w:rFonts w:ascii="Times New Roman" w:hAnsi="Times New Roman" w:cs="Times New Roman"/>
      <w:highlight w:val="yellow"/>
    </w:rPr>
  </w:style>
  <w:style w:type="paragraph" w:customStyle="1" w:styleId="67">
    <w:name w:val="P68B1DB1-114"/>
    <w:basedOn w:val="1"/>
    <w:uiPriority w:val="0"/>
    <w:rPr>
      <w:rFonts w:ascii="Times New Roman" w:hAnsi="Times New Roman" w:cs="Times New Roman"/>
      <w:u w:val="single"/>
    </w:rPr>
  </w:style>
  <w:style w:type="paragraph" w:customStyle="1" w:styleId="68">
    <w:name w:val="P68B1DB1-115"/>
    <w:basedOn w:val="1"/>
    <w:uiPriority w:val="0"/>
    <w:rPr>
      <w:rFonts w:ascii="Times New Roman" w:hAnsi="Times New Roman" w:cs="Times New Roman"/>
      <w:b/>
      <w:color w:val="000000"/>
    </w:rPr>
  </w:style>
  <w:style w:type="paragraph" w:customStyle="1" w:styleId="69">
    <w:name w:val="P68B1DB1-316"/>
    <w:basedOn w:val="3"/>
    <w:uiPriority w:val="0"/>
    <w:rPr>
      <w:rFonts w:ascii="Times New Roman" w:hAnsi="Times New Roman" w:eastAsia="Times New Roman" w:cs="Times New Roman"/>
      <w:sz w:val="22"/>
      <w:szCs w:val="22"/>
    </w:rPr>
  </w:style>
  <w:style w:type="paragraph" w:customStyle="1" w:styleId="70">
    <w:name w:val="P68B1DB1-117"/>
    <w:basedOn w:val="1"/>
    <w:uiPriority w:val="0"/>
    <w:rPr>
      <w:rFonts w:ascii="Times New Roman" w:hAnsi="Times New Roman" w:cs="Times New Roman"/>
      <w:color w:val="112444"/>
      <w:highlight w:val="white"/>
    </w:rPr>
  </w:style>
  <w:style w:type="paragraph" w:customStyle="1" w:styleId="71">
    <w:name w:val="P68B1DB1-118"/>
    <w:basedOn w:val="1"/>
    <w:uiPriority w:val="0"/>
    <w:rPr>
      <w:rFonts w:ascii="Times New Roman" w:hAnsi="Times New Roman" w:cs="Times New Roman"/>
      <w:i/>
    </w:rPr>
  </w:style>
  <w:style w:type="paragraph" w:customStyle="1" w:styleId="72">
    <w:name w:val="P68B1DB1-3919"/>
    <w:basedOn w:val="39"/>
    <w:uiPriority w:val="0"/>
    <w:rPr>
      <w:rFonts w:ascii="Times New Roman" w:hAnsi="Times New Roman" w:cs="Times New Roman"/>
      <w:b/>
      <w:color w:val="000000"/>
    </w:rPr>
  </w:style>
  <w:style w:type="paragraph" w:customStyle="1" w:styleId="73">
    <w:name w:val="P68B1DB1-3920"/>
    <w:basedOn w:val="39"/>
    <w:uiPriority w:val="0"/>
    <w:rPr>
      <w:rFonts w:ascii="Times New Roman" w:hAnsi="Times New Roman" w:cs="Times New Roman"/>
    </w:rPr>
  </w:style>
  <w:style w:type="paragraph" w:customStyle="1" w:styleId="74">
    <w:name w:val="P68B1DB1-5221"/>
    <w:basedOn w:val="52"/>
    <w:uiPriority w:val="0"/>
    <w:rPr>
      <w:rFonts w:ascii="Times New Roman" w:hAnsi="Times New Roman" w:cs="Times New Roman"/>
      <w:color w:val="auto"/>
      <w:sz w:val="22"/>
      <w:szCs w:val="22"/>
    </w:rPr>
  </w:style>
  <w:style w:type="paragraph" w:customStyle="1" w:styleId="75">
    <w:name w:val="P68B1DB1-122"/>
    <w:basedOn w:val="1"/>
    <w:uiPriority w:val="0"/>
    <w:rPr>
      <w:color w:val="000000"/>
    </w:rPr>
  </w:style>
  <w:style w:type="paragraph" w:customStyle="1" w:styleId="76">
    <w:name w:val="P68B1DB1-123"/>
    <w:basedOn w:val="1"/>
    <w:uiPriority w:val="0"/>
    <w:rPr>
      <w:rFonts w:hint="default" w:ascii="Times New Roman" w:hAnsi="Times New Roman" w:cs="Times New Roman"/>
      <w:color w:val="000000"/>
    </w:rPr>
  </w:style>
  <w:style w:type="paragraph" w:customStyle="1" w:styleId="77">
    <w:name w:val="P68B1DB1-124"/>
    <w:basedOn w:val="1"/>
    <w:uiPriority w:val="0"/>
    <w:rPr>
      <w:rFonts w:hint="default" w:ascii="Times New Roman" w:hAnsi="Times New Roman" w:cs="Times New Roman"/>
      <w:i/>
      <w:color w:val="000000"/>
      <w:sz w:val="20"/>
      <w:szCs w:val="20"/>
    </w:rPr>
  </w:style>
  <w:style w:type="paragraph" w:customStyle="1" w:styleId="78">
    <w:name w:val="P68B1DB1-125"/>
    <w:basedOn w:val="1"/>
    <w:uiPriority w:val="0"/>
    <w:rPr>
      <w:rFonts w:hint="default" w:ascii="Times New Roman" w:hAnsi="Times New Roman" w:cs="Times New Roman"/>
      <w:color w:val="000000"/>
      <w:sz w:val="20"/>
      <w:szCs w:val="20"/>
    </w:rPr>
  </w:style>
  <w:style w:type="paragraph" w:customStyle="1" w:styleId="79">
    <w:name w:val="P68B1DB1-126"/>
    <w:basedOn w:val="1"/>
    <w:uiPriority w:val="0"/>
    <w:rPr>
      <w:i/>
      <w:color w:val="000000" w:themeColor="text1"/>
      <w14:textFill>
        <w14:solidFill>
          <w14:schemeClr w14:val="tx1"/>
        </w14:solidFill>
      </w14:textFill>
    </w:rPr>
  </w:style>
  <w:style w:type="paragraph" w:customStyle="1" w:styleId="80">
    <w:name w:val="P68B1DB1-3927"/>
    <w:basedOn w:val="39"/>
    <w:uiPriority w:val="0"/>
    <w:rPr>
      <w:rFonts w:ascii="Times New Roman" w:hAnsi="Times New Roman" w:cs="Times New Roman"/>
      <w:color w:val="000000"/>
    </w:rPr>
  </w:style>
  <w:style w:type="paragraph" w:customStyle="1" w:styleId="81">
    <w:name w:val="P68B1DB1-3928"/>
    <w:basedOn w:val="39"/>
    <w:uiPriority w:val="0"/>
    <w:rPr>
      <w:rFonts w:ascii="Times New Roman" w:hAnsi="Times New Roman" w:cs="Times New Roman"/>
      <w:sz w:val="20"/>
      <w:szCs w:val="20"/>
    </w:rPr>
  </w:style>
  <w:style w:type="paragraph" w:customStyle="1" w:styleId="82">
    <w:name w:val="P68B1DB1-129"/>
    <w:basedOn w:val="1"/>
    <w:uiPriority w:val="0"/>
    <w:rPr>
      <w:rFonts w:ascii="Times New Roman" w:hAnsi="Times New Roman" w:cs="Times New Roman"/>
      <w:sz w:val="20"/>
      <w:szCs w:val="20"/>
    </w:rPr>
  </w:style>
  <w:style w:type="paragraph" w:customStyle="1" w:styleId="83">
    <w:name w:val="P68B1DB1-1330"/>
    <w:basedOn w:val="13"/>
    <w:uiPriority w:val="0"/>
    <w:rPr>
      <w:sz w:val="20"/>
      <w:szCs w:val="20"/>
    </w:rPr>
  </w:style>
  <w:style w:type="paragraph" w:customStyle="1" w:styleId="84">
    <w:name w:val="P68B1DB1-131"/>
    <w:basedOn w:val="1"/>
    <w:uiPriority w:val="0"/>
    <w:rPr>
      <w:b/>
      <w:caps/>
    </w:rPr>
  </w:style>
  <w:style w:type="paragraph" w:customStyle="1" w:styleId="85">
    <w:name w:val="P68B1DB1-132"/>
    <w:basedOn w:val="1"/>
    <w:uiPriority w:val="0"/>
    <w:rPr>
      <w:rFonts w:ascii="Times New Roman" w:hAnsi="Times New Roman" w:cs="Times New Roman"/>
      <w:b/>
      <w:sz w:val="20"/>
      <w:szCs w:val="20"/>
    </w:rPr>
  </w:style>
  <w:style w:type="paragraph" w:customStyle="1" w:styleId="86">
    <w:name w:val="P68B1DB1-133"/>
    <w:basedOn w:val="1"/>
    <w:uiPriority w:val="0"/>
    <w:rPr>
      <w:rFonts w:ascii="Times New Roman" w:hAnsi="Times New Roman" w:cs="Times New Roman"/>
      <w:b/>
      <w:i/>
    </w:rPr>
  </w:style>
  <w:style w:type="paragraph" w:customStyle="1" w:styleId="87">
    <w:name w:val="P68B1DB1-134"/>
    <w:basedOn w:val="1"/>
    <w:uiPriority w:val="0"/>
    <w:rPr>
      <w:rFonts w:ascii="Times New Roman" w:hAnsi="Times New Roman" w:cs="Times New Roman"/>
      <w:b/>
      <w:shd w:val="clear" w:color="auto" w:fill="FFFFFF"/>
    </w:rPr>
  </w:style>
  <w:style w:type="paragraph" w:customStyle="1" w:styleId="88">
    <w:name w:val="P68B1DB1-135"/>
    <w:basedOn w:val="1"/>
    <w:uiPriority w:val="0"/>
    <w:rPr>
      <w:rFonts w:ascii="Calibri" w:hAnsi="Calibri" w:eastAsia="Calibri" w:cs="Calibri"/>
      <w:color w:val="000000"/>
      <w:sz w:val="20"/>
      <w:szCs w:val="20"/>
    </w:rPr>
  </w:style>
  <w:style w:type="paragraph" w:customStyle="1" w:styleId="89">
    <w:name w:val="P68B1DB1-1736"/>
    <w:basedOn w:val="17"/>
    <w:uiPriority w:val="0"/>
    <w:rPr>
      <w:rFonts w:ascii="Times New Roman" w:hAnsi="Times New Roman" w:cs="Times New Roman"/>
    </w:rPr>
  </w:style>
  <w:style w:type="paragraph" w:customStyle="1" w:styleId="90">
    <w:name w:val="P68B1DB1-1737"/>
    <w:basedOn w:val="17"/>
    <w:uiPriority w:val="0"/>
    <w:rPr>
      <w14:ligatures w14:val="standardContextual"/>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2.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2.emf"/><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F982484-222D-4FAF-AF50-7E488F86C1E1}">
  <ds:schemaRefs/>
</ds:datastoreItem>
</file>

<file path=docProps/app.xml><?xml version="1.0" encoding="utf-8"?>
<Properties xmlns="http://schemas.openxmlformats.org/officeDocument/2006/extended-properties" xmlns:vt="http://schemas.openxmlformats.org/officeDocument/2006/docPropsVTypes">
  <Template>Normal</Template>
  <Company>WBG</Company>
  <Pages>43</Pages>
  <Words>11388</Words>
  <Characters>72657</Characters>
  <Lines>4036</Lines>
  <Paragraphs>2271</Paragraphs>
  <TotalTime>28</TotalTime>
  <ScaleCrop>false</ScaleCrop>
  <LinksUpToDate>false</LinksUpToDate>
  <CharactersWithSpaces>81774</CharactersWithSpaces>
  <Application>WPS Office_12.2.0.22549_F1E327BC-269C-435d-A152-05C5408002CA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2025-09-09T14:38:00Z</dcterms:created>
  <dc:creator>Cesar Niculescu</dc:creator>
  <cp:lastModifiedBy>trofimov.t</cp:lastModifiedBy>
  <cp:lastPrinted>2025-09-15T08:57:27Z</cp:lastPrinted>
  <dcterms:modified xsi:type="dcterms:W3CDTF">2025-09-15T09:35:39Z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e415efb,2079afce,57ccf04b</vt:lpwstr>
  </property>
  <property fmtid="{D5CDD505-2E9C-101B-9397-08002B2CF9AE}" pid="3" name="ClassificationContentMarkingFooterFontProps">
    <vt:lpwstr>#000000,10,Calibri</vt:lpwstr>
  </property>
  <property fmtid="{D5CDD505-2E9C-101B-9397-08002B2CF9AE}" pid="4" name="ClassificationContentMarkingFooterText">
    <vt:lpwstr>Official Use Only</vt:lpwstr>
  </property>
  <property fmtid="{D5CDD505-2E9C-101B-9397-08002B2CF9AE}" pid="5" name="MSIP_Label_f1bf45b6-5649-4236-82a3-f45024cd282e_Enabled">
    <vt:lpwstr>true</vt:lpwstr>
  </property>
  <property fmtid="{D5CDD505-2E9C-101B-9397-08002B2CF9AE}" pid="6" name="MSIP_Label_f1bf45b6-5649-4236-82a3-f45024cd282e_SetDate">
    <vt:lpwstr>2025-07-31T09:37:57Z</vt:lpwstr>
  </property>
  <property fmtid="{D5CDD505-2E9C-101B-9397-08002B2CF9AE}" pid="7" name="MSIP_Label_f1bf45b6-5649-4236-82a3-f45024cd282e_Method">
    <vt:lpwstr>Standard</vt:lpwstr>
  </property>
  <property fmtid="{D5CDD505-2E9C-101B-9397-08002B2CF9AE}" pid="8" name="MSIP_Label_f1bf45b6-5649-4236-82a3-f45024cd282e_Name">
    <vt:lpwstr>Official Use Only</vt:lpwstr>
  </property>
  <property fmtid="{D5CDD505-2E9C-101B-9397-08002B2CF9AE}" pid="9" name="MSIP_Label_f1bf45b6-5649-4236-82a3-f45024cd282e_SiteId">
    <vt:lpwstr>31a2fec0-266b-4c67-b56e-2796d8f59c36</vt:lpwstr>
  </property>
  <property fmtid="{D5CDD505-2E9C-101B-9397-08002B2CF9AE}" pid="10" name="MSIP_Label_f1bf45b6-5649-4236-82a3-f45024cd282e_ActionId">
    <vt:lpwstr>a4e8ca8b-bcdb-403f-bb39-a561493ad6e5</vt:lpwstr>
  </property>
  <property fmtid="{D5CDD505-2E9C-101B-9397-08002B2CF9AE}" pid="11" name="MSIP_Label_f1bf45b6-5649-4236-82a3-f45024cd282e_ContentBits">
    <vt:lpwstr>2</vt:lpwstr>
  </property>
  <property fmtid="{D5CDD505-2E9C-101B-9397-08002B2CF9AE}" pid="12" name="MSIP_Label_f1bf45b6-5649-4236-82a3-f45024cd282e_Tag">
    <vt:lpwstr>10, 3, 0, 1</vt:lpwstr>
  </property>
  <property fmtid="{D5CDD505-2E9C-101B-9397-08002B2CF9AE}" pid="13" name="KSOProductBuildVer">
    <vt:lpwstr>1033-12.2.0.22549</vt:lpwstr>
  </property>
  <property fmtid="{D5CDD505-2E9C-101B-9397-08002B2CF9AE}" pid="14" name="ICV">
    <vt:lpwstr>D74F06838E7C494BBCFE4A9310C83E7B_13</vt:lpwstr>
  </property>
</Properties>
</file>