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81E996">
      <w:pPr>
        <w:spacing w:after="120" w:line="240" w:lineRule="auto"/>
        <w:jc w:val="center"/>
        <w:rPr>
          <w:rFonts w:ascii="Times New Roman" w:hAnsi="Times New Roman" w:cs="Times New Roman"/>
          <w:b/>
          <w:sz w:val="24"/>
          <w:szCs w:val="24"/>
        </w:rPr>
      </w:pPr>
    </w:p>
    <w:p w14:paraId="16DC4014">
      <w:pPr>
        <w:spacing w:after="120" w:line="240" w:lineRule="auto"/>
        <w:jc w:val="center"/>
        <w:rPr>
          <w:rFonts w:ascii="Times New Roman" w:hAnsi="Times New Roman" w:cs="Times New Roman"/>
          <w:b/>
          <w:sz w:val="24"/>
          <w:szCs w:val="24"/>
        </w:rPr>
      </w:pPr>
    </w:p>
    <w:p w14:paraId="74F3646D">
      <w:pPr>
        <w:spacing w:after="120" w:line="240" w:lineRule="auto"/>
        <w:jc w:val="center"/>
        <w:rPr>
          <w:rFonts w:ascii="Times New Roman" w:hAnsi="Times New Roman" w:cs="Times New Roman"/>
          <w:b/>
          <w:sz w:val="24"/>
          <w:szCs w:val="24"/>
        </w:rPr>
      </w:pPr>
    </w:p>
    <w:p w14:paraId="6AFD3FFE">
      <w:pPr>
        <w:spacing w:after="120" w:line="240" w:lineRule="auto"/>
        <w:jc w:val="center"/>
        <w:rPr>
          <w:rFonts w:ascii="Times New Roman" w:hAnsi="Times New Roman" w:cs="Times New Roman"/>
          <w:b/>
          <w:sz w:val="24"/>
          <w:szCs w:val="24"/>
        </w:rPr>
      </w:pPr>
    </w:p>
    <w:p w14:paraId="1ADA3346">
      <w:pPr>
        <w:spacing w:after="120" w:line="240" w:lineRule="auto"/>
        <w:jc w:val="center"/>
        <w:rPr>
          <w:rFonts w:ascii="Times New Roman" w:hAnsi="Times New Roman" w:cs="Times New Roman"/>
          <w:b/>
          <w:sz w:val="24"/>
          <w:szCs w:val="24"/>
        </w:rPr>
      </w:pPr>
    </w:p>
    <w:p w14:paraId="0D65024A">
      <w:pPr>
        <w:spacing w:after="120" w:line="240" w:lineRule="auto"/>
        <w:jc w:val="center"/>
        <w:rPr>
          <w:rFonts w:ascii="Times New Roman" w:hAnsi="Times New Roman" w:cs="Times New Roman"/>
          <w:b/>
          <w:sz w:val="24"/>
          <w:szCs w:val="24"/>
        </w:rPr>
      </w:pPr>
    </w:p>
    <w:p w14:paraId="27B1BDED">
      <w:pPr>
        <w:spacing w:after="120" w:line="240" w:lineRule="auto"/>
        <w:jc w:val="center"/>
        <w:rPr>
          <w:rFonts w:ascii="Times New Roman" w:hAnsi="Times New Roman" w:cs="Times New Roman"/>
          <w:b/>
          <w:sz w:val="24"/>
          <w:szCs w:val="24"/>
        </w:rPr>
      </w:pPr>
      <w:r>
        <w:rPr>
          <w:rFonts w:ascii="Times New Roman" w:hAnsi="Times New Roman" w:cs="Times New Roman"/>
          <w:b/>
          <w:sz w:val="24"/>
          <w:szCs w:val="24"/>
        </w:rPr>
        <w:t>Republic of Moldova</w:t>
      </w:r>
    </w:p>
    <w:p w14:paraId="62C52E7D">
      <w:pPr>
        <w:spacing w:after="12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Ministry of Finance </w:t>
      </w:r>
    </w:p>
    <w:p w14:paraId="4690170F">
      <w:pPr>
        <w:spacing w:line="276" w:lineRule="auto"/>
        <w:jc w:val="center"/>
        <w:rPr>
          <w:rFonts w:ascii="Times New Roman" w:hAnsi="Times New Roman" w:cs="Times New Roman"/>
          <w:b/>
          <w:sz w:val="24"/>
          <w:szCs w:val="24"/>
        </w:rPr>
      </w:pPr>
      <w:r>
        <w:rPr>
          <w:rFonts w:ascii="Times New Roman" w:hAnsi="Times New Roman" w:cs="Times New Roman"/>
          <w:b/>
          <w:sz w:val="24"/>
          <w:szCs w:val="24"/>
        </w:rPr>
        <w:t>Custom Service of the Republic of Moldova</w:t>
      </w:r>
    </w:p>
    <w:p w14:paraId="7FDDC82A">
      <w:pPr>
        <w:spacing w:line="276" w:lineRule="auto"/>
        <w:jc w:val="center"/>
        <w:rPr>
          <w:rFonts w:ascii="Times New Roman" w:hAnsi="Times New Roman" w:cs="Times New Roman"/>
          <w:b/>
          <w:sz w:val="24"/>
          <w:szCs w:val="24"/>
        </w:rPr>
      </w:pPr>
      <w:r>
        <w:rPr>
          <w:rFonts w:ascii="Times New Roman" w:hAnsi="Times New Roman" w:cs="Times New Roman"/>
          <w:b/>
          <w:sz w:val="24"/>
          <w:szCs w:val="24"/>
        </w:rPr>
        <w:t>Moldova Rural Connectivity Project (P180153)</w:t>
      </w:r>
    </w:p>
    <w:p w14:paraId="5946D768">
      <w:pPr>
        <w:spacing w:line="276" w:lineRule="auto"/>
        <w:jc w:val="center"/>
        <w:rPr>
          <w:rFonts w:ascii="Times New Roman" w:hAnsi="Times New Roman" w:cs="Times New Roman"/>
          <w:b/>
          <w:iCs/>
          <w:sz w:val="24"/>
          <w:szCs w:val="24"/>
        </w:rPr>
      </w:pPr>
      <w:r>
        <w:rPr>
          <w:rFonts w:ascii="Times New Roman" w:hAnsi="Times New Roman" w:cs="Times New Roman"/>
          <w:b/>
          <w:iCs/>
          <w:sz w:val="24"/>
          <w:szCs w:val="24"/>
        </w:rPr>
        <w:t>Component B: Facilitating trade and expanding Solidarity Lanes</w:t>
      </w:r>
    </w:p>
    <w:p w14:paraId="20D16980">
      <w:pPr>
        <w:spacing w:line="276" w:lineRule="auto"/>
        <w:rPr>
          <w:rFonts w:ascii="Times New Roman" w:hAnsi="Times New Roman" w:cs="Times New Roman"/>
        </w:rPr>
      </w:pPr>
    </w:p>
    <w:p w14:paraId="1CC91F2E">
      <w:pPr>
        <w:spacing w:line="276" w:lineRule="auto"/>
        <w:rPr>
          <w:rFonts w:ascii="Times New Roman" w:hAnsi="Times New Roman" w:cs="Times New Roman"/>
        </w:rPr>
      </w:pPr>
    </w:p>
    <w:p w14:paraId="6ABDECB8">
      <w:pPr>
        <w:spacing w:line="276" w:lineRule="auto"/>
        <w:rPr>
          <w:rFonts w:ascii="Times New Roman" w:hAnsi="Times New Roman" w:cs="Times New Roman"/>
          <w:sz w:val="28"/>
          <w:szCs w:val="28"/>
        </w:rPr>
      </w:pPr>
    </w:p>
    <w:p w14:paraId="5BC12AC7">
      <w:pPr>
        <w:pStyle w:val="4"/>
        <w:jc w:val="center"/>
        <w:rPr>
          <w:rFonts w:ascii="Times New Roman" w:hAnsi="Times New Roman" w:eastAsia="Times New Roman" w:cs="Times New Roman"/>
          <w:b/>
          <w:bCs/>
          <w:caps/>
          <w:lang w:eastAsia="ru-RU"/>
        </w:rPr>
      </w:pPr>
      <w:r>
        <w:rPr>
          <w:rFonts w:ascii="Times New Roman" w:hAnsi="Times New Roman" w:eastAsia="Times New Roman" w:cs="Times New Roman"/>
          <w:b/>
          <w:bCs/>
          <w:caps/>
          <w:lang w:eastAsia="ru-RU"/>
        </w:rPr>
        <w:t xml:space="preserve">Site Specific </w:t>
      </w:r>
    </w:p>
    <w:p w14:paraId="20FCF675">
      <w:pPr>
        <w:pStyle w:val="4"/>
        <w:jc w:val="center"/>
        <w:rPr>
          <w:rFonts w:ascii="Times New Roman" w:hAnsi="Times New Roman" w:eastAsia="Times New Roman" w:cs="Times New Roman"/>
          <w:b/>
          <w:bCs/>
          <w:caps/>
          <w:lang w:eastAsia="ru-RU"/>
        </w:rPr>
      </w:pPr>
      <w:r>
        <w:rPr>
          <w:rFonts w:ascii="Times New Roman" w:hAnsi="Times New Roman" w:eastAsia="Times New Roman" w:cs="Times New Roman"/>
          <w:b/>
          <w:bCs/>
          <w:caps/>
          <w:lang w:eastAsia="ru-RU"/>
        </w:rPr>
        <w:t>Environmental &amp; Social Management Plan (ESMP)</w:t>
      </w:r>
    </w:p>
    <w:p w14:paraId="53374814">
      <w:pPr>
        <w:pStyle w:val="4"/>
        <w:jc w:val="center"/>
        <w:rPr>
          <w:rFonts w:ascii="Times New Roman" w:hAnsi="Times New Roman" w:eastAsia="Times New Roman" w:cs="Times New Roman"/>
          <w:b/>
          <w:bCs/>
          <w:lang w:eastAsia="ru-RU"/>
        </w:rPr>
      </w:pPr>
      <w:r>
        <w:rPr>
          <w:rFonts w:ascii="Times New Roman" w:hAnsi="Times New Roman" w:eastAsia="Times New Roman" w:cs="Times New Roman"/>
          <w:b/>
          <w:bCs/>
          <w:caps/>
          <w:lang w:eastAsia="ru-RU"/>
        </w:rPr>
        <w:t>Checklist</w:t>
      </w:r>
      <w:r>
        <w:rPr>
          <w:rFonts w:ascii="Times New Roman" w:hAnsi="Times New Roman" w:eastAsia="Times New Roman" w:cs="Times New Roman"/>
          <w:b/>
          <w:bCs/>
          <w:lang w:eastAsia="ru-RU"/>
        </w:rPr>
        <w:t xml:space="preserve"> </w:t>
      </w:r>
    </w:p>
    <w:p w14:paraId="161EFF3B">
      <w:pPr>
        <w:pStyle w:val="4"/>
        <w:jc w:val="center"/>
        <w:rPr>
          <w:rFonts w:ascii="Times New Roman" w:hAnsi="Times New Roman" w:eastAsia="Times New Roman" w:cs="Times New Roman"/>
          <w:b/>
          <w:bCs/>
          <w:lang w:eastAsia="ru-RU"/>
        </w:rPr>
      </w:pPr>
      <w:r>
        <w:rPr>
          <w:rFonts w:ascii="Times New Roman" w:hAnsi="Times New Roman" w:eastAsia="Times New Roman" w:cs="Times New Roman"/>
          <w:b/>
          <w:bCs/>
          <w:lang w:eastAsia="ru-RU"/>
        </w:rPr>
        <w:t xml:space="preserve">for </w:t>
      </w:r>
    </w:p>
    <w:p w14:paraId="12613FE1">
      <w:pPr>
        <w:pStyle w:val="4"/>
        <w:jc w:val="center"/>
        <w:rPr>
          <w:rFonts w:ascii="Times New Roman" w:hAnsi="Times New Roman" w:eastAsia="Times New Roman" w:cs="Times New Roman"/>
          <w:b/>
          <w:bCs/>
          <w:lang w:eastAsia="ru-RU"/>
        </w:rPr>
      </w:pPr>
      <w:r>
        <w:rPr>
          <w:rFonts w:ascii="Times New Roman" w:hAnsi="Times New Roman" w:eastAsia="Times New Roman" w:cs="Times New Roman"/>
          <w:b/>
          <w:bCs/>
          <w:lang w:eastAsia="ru-RU"/>
        </w:rPr>
        <w:t xml:space="preserve">Construction and Rehabilitation Activities </w:t>
      </w:r>
    </w:p>
    <w:p w14:paraId="7430488C">
      <w:pPr>
        <w:pStyle w:val="4"/>
        <w:jc w:val="center"/>
      </w:pPr>
      <w:r>
        <w:rPr>
          <w:rFonts w:ascii="Times New Roman" w:hAnsi="Times New Roman" w:eastAsia="Times New Roman" w:cs="Times New Roman"/>
          <w:b/>
          <w:bCs/>
          <w:lang w:eastAsia="ru-RU"/>
        </w:rPr>
        <w:t>for EXPANSION AND MODERNIZATION OF GIURGIULEȘTI CUSTOM SERVICE CONTROL PLATFORM</w:t>
      </w:r>
    </w:p>
    <w:p w14:paraId="3B390C1F">
      <w:pPr>
        <w:spacing w:line="276" w:lineRule="auto"/>
        <w:jc w:val="center"/>
        <w:rPr>
          <w:rFonts w:ascii="Times New Roman" w:hAnsi="Times New Roman" w:cs="Times New Roman"/>
          <w:b/>
          <w:bCs/>
        </w:rPr>
      </w:pPr>
      <w:r>
        <w:rPr>
          <w:rFonts w:ascii="Times New Roman" w:hAnsi="Times New Roman" w:cs="Times New Roman"/>
          <w:b/>
          <w:bCs/>
        </w:rPr>
        <w:t>May 2025</w:t>
      </w:r>
    </w:p>
    <w:p w14:paraId="1A510D1A">
      <w:pPr>
        <w:spacing w:line="276" w:lineRule="auto"/>
        <w:jc w:val="center"/>
        <w:rPr>
          <w:rFonts w:ascii="Times New Roman" w:hAnsi="Times New Roman" w:cs="Times New Roman"/>
          <w:b/>
        </w:rPr>
      </w:pPr>
    </w:p>
    <w:p w14:paraId="32707031">
      <w:pPr>
        <w:spacing w:line="276" w:lineRule="auto"/>
        <w:jc w:val="center"/>
        <w:rPr>
          <w:rFonts w:ascii="Times New Roman" w:hAnsi="Times New Roman" w:cs="Times New Roman"/>
          <w:b/>
        </w:rPr>
      </w:pPr>
    </w:p>
    <w:p w14:paraId="1E8CE829">
      <w:pPr>
        <w:spacing w:line="276" w:lineRule="auto"/>
        <w:jc w:val="center"/>
        <w:rPr>
          <w:rFonts w:ascii="Times New Roman" w:hAnsi="Times New Roman" w:cs="Times New Roman"/>
          <w:b/>
        </w:rPr>
      </w:pPr>
    </w:p>
    <w:p w14:paraId="1EB33700">
      <w:pPr>
        <w:spacing w:line="276" w:lineRule="auto"/>
        <w:jc w:val="center"/>
        <w:rPr>
          <w:rFonts w:ascii="Times New Roman" w:hAnsi="Times New Roman" w:cs="Times New Roman"/>
          <w:b/>
        </w:rPr>
      </w:pPr>
    </w:p>
    <w:p w14:paraId="5468072A">
      <w:pPr>
        <w:spacing w:line="276" w:lineRule="auto"/>
        <w:jc w:val="center"/>
        <w:rPr>
          <w:rFonts w:ascii="Times New Roman" w:hAnsi="Times New Roman" w:cs="Times New Roman"/>
          <w:b/>
        </w:rPr>
      </w:pPr>
    </w:p>
    <w:p w14:paraId="59E2DC82">
      <w:pPr>
        <w:spacing w:line="276" w:lineRule="auto"/>
        <w:jc w:val="center"/>
        <w:rPr>
          <w:rFonts w:ascii="Times New Roman" w:hAnsi="Times New Roman" w:cs="Times New Roman"/>
          <w:b/>
        </w:rPr>
      </w:pPr>
    </w:p>
    <w:p w14:paraId="677B984E">
      <w:pPr>
        <w:spacing w:line="276" w:lineRule="auto"/>
        <w:jc w:val="center"/>
        <w:rPr>
          <w:rFonts w:ascii="Times New Roman" w:hAnsi="Times New Roman" w:cs="Times New Roman"/>
          <w:b/>
        </w:rPr>
      </w:pPr>
    </w:p>
    <w:p w14:paraId="6F9C2E58">
      <w:pPr>
        <w:pStyle w:val="2"/>
        <w:tabs>
          <w:tab w:val="left" w:pos="993"/>
          <w:tab w:val="left" w:pos="2382"/>
        </w:tabs>
        <w:spacing w:before="0" w:after="120" w:line="216" w:lineRule="auto"/>
        <w:ind w:left="426" w:hanging="426"/>
        <w:rPr>
          <w:rFonts w:ascii="Times New Roman" w:hAnsi="Times New Roman" w:eastAsia="Times New Roman" w:cs="Times New Roman"/>
          <w:b/>
          <w:bCs/>
          <w:caps/>
          <w:color w:val="auto"/>
          <w:sz w:val="24"/>
          <w:szCs w:val="24"/>
          <w:lang w:eastAsia="ru-RU"/>
        </w:rPr>
      </w:pPr>
      <w:bookmarkStart w:id="0" w:name="_Toc144931229"/>
      <w:bookmarkStart w:id="1" w:name="_Toc158425621"/>
      <w:bookmarkStart w:id="2" w:name="_Toc156465713"/>
      <w:bookmarkStart w:id="3" w:name="_Toc184894602"/>
      <w:r>
        <w:rPr>
          <w:rFonts w:ascii="Times New Roman" w:hAnsi="Times New Roman" w:eastAsia="Times New Roman" w:cs="Times New Roman"/>
          <w:b/>
          <w:bCs/>
          <w:caps/>
          <w:color w:val="auto"/>
          <w:sz w:val="24"/>
          <w:szCs w:val="24"/>
          <w:lang w:eastAsia="ru-RU"/>
        </w:rPr>
        <w:t>ACRONYMS AND ABBREVIATIONS</w:t>
      </w:r>
      <w:bookmarkEnd w:id="0"/>
      <w:bookmarkEnd w:id="1"/>
      <w:bookmarkEnd w:id="2"/>
      <w:bookmarkEnd w:id="3"/>
    </w:p>
    <w:p w14:paraId="18B48177">
      <w:pPr>
        <w:spacing w:line="276" w:lineRule="auto"/>
        <w:rPr>
          <w:rFonts w:ascii="Times New Roman" w:hAnsi="Times New Roman" w:cs="Times New Roman"/>
        </w:rPr>
      </w:pPr>
    </w:p>
    <w:tbl>
      <w:tblPr>
        <w:tblStyle w:val="24"/>
        <w:tblpPr w:leftFromText="180" w:rightFromText="180" w:vertAnchor="text" w:tblpY="1"/>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74"/>
        <w:gridCol w:w="709"/>
        <w:gridCol w:w="7342"/>
      </w:tblGrid>
      <w:tr w14:paraId="79272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43F6EC4">
            <w:pPr>
              <w:spacing w:after="0" w:line="360" w:lineRule="auto"/>
              <w:rPr>
                <w:rFonts w:ascii="Times New Roman" w:hAnsi="Times New Roman" w:cs="Times New Roman"/>
              </w:rPr>
            </w:pPr>
            <w:r>
              <w:rPr>
                <w:rFonts w:ascii="Times New Roman" w:hAnsi="Times New Roman" w:cs="Times New Roman"/>
              </w:rPr>
              <w:t>BCP</w:t>
            </w:r>
          </w:p>
          <w:p w14:paraId="26251634">
            <w:pPr>
              <w:spacing w:after="0" w:line="360" w:lineRule="auto"/>
              <w:rPr>
                <w:rFonts w:ascii="Times New Roman" w:hAnsi="Times New Roman" w:cs="Times New Roman"/>
              </w:rPr>
            </w:pPr>
            <w:r>
              <w:rPr>
                <w:rFonts w:ascii="Times New Roman" w:hAnsi="Times New Roman" w:cs="Times New Roman"/>
              </w:rPr>
              <w:t>CEF</w:t>
            </w:r>
          </w:p>
          <w:p w14:paraId="5FD76C86">
            <w:pPr>
              <w:spacing w:after="0" w:line="360" w:lineRule="auto"/>
              <w:rPr>
                <w:rFonts w:ascii="Times New Roman" w:hAnsi="Times New Roman" w:cs="Times New Roman"/>
                <w:b/>
              </w:rPr>
            </w:pPr>
            <w:r>
              <w:rPr>
                <w:rFonts w:ascii="Times New Roman" w:hAnsi="Times New Roman" w:cs="Times New Roman"/>
              </w:rPr>
              <w:t>ESCP</w:t>
            </w:r>
          </w:p>
        </w:tc>
        <w:tc>
          <w:tcPr>
            <w:tcW w:w="709" w:type="dxa"/>
            <w:vAlign w:val="center"/>
          </w:tcPr>
          <w:p w14:paraId="34F88EFB">
            <w:pPr>
              <w:spacing w:after="0" w:line="360" w:lineRule="auto"/>
              <w:rPr>
                <w:rFonts w:ascii="Times New Roman" w:hAnsi="Times New Roman" w:cs="Times New Roman"/>
              </w:rPr>
            </w:pPr>
            <w:r>
              <w:rPr>
                <w:rFonts w:ascii="Times New Roman" w:hAnsi="Times New Roman" w:cs="Times New Roman"/>
              </w:rPr>
              <w:t>-</w:t>
            </w:r>
          </w:p>
          <w:p w14:paraId="30938942">
            <w:pPr>
              <w:spacing w:after="0" w:line="360" w:lineRule="auto"/>
              <w:rPr>
                <w:rFonts w:ascii="Times New Roman" w:hAnsi="Times New Roman" w:cs="Times New Roman"/>
              </w:rPr>
            </w:pPr>
            <w:r>
              <w:rPr>
                <w:rFonts w:ascii="Times New Roman" w:hAnsi="Times New Roman" w:cs="Times New Roman"/>
              </w:rPr>
              <w:t>-</w:t>
            </w:r>
          </w:p>
          <w:p w14:paraId="666B36A8">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63EBA498">
            <w:pPr>
              <w:spacing w:after="0" w:line="360" w:lineRule="auto"/>
              <w:rPr>
                <w:rFonts w:ascii="Times New Roman" w:hAnsi="Times New Roman" w:cs="Times New Roman"/>
              </w:rPr>
            </w:pPr>
            <w:r>
              <w:rPr>
                <w:rFonts w:ascii="Times New Roman" w:hAnsi="Times New Roman" w:cs="Times New Roman"/>
              </w:rPr>
              <w:t>Border Crossing Point</w:t>
            </w:r>
          </w:p>
          <w:p w14:paraId="75C013B7">
            <w:pPr>
              <w:spacing w:after="0" w:line="360" w:lineRule="auto"/>
              <w:rPr>
                <w:rFonts w:ascii="Times New Roman" w:hAnsi="Times New Roman" w:cs="Times New Roman"/>
              </w:rPr>
            </w:pPr>
            <w:r>
              <w:rPr>
                <w:rFonts w:ascii="Times New Roman" w:hAnsi="Times New Roman" w:cs="Times New Roman"/>
              </w:rPr>
              <w:t>Connecting Europe Facility</w:t>
            </w:r>
          </w:p>
          <w:p w14:paraId="3A1CAD0A">
            <w:pPr>
              <w:spacing w:after="0" w:line="360" w:lineRule="auto"/>
              <w:rPr>
                <w:rFonts w:ascii="Times New Roman" w:hAnsi="Times New Roman" w:cs="Times New Roman"/>
              </w:rPr>
            </w:pPr>
            <w:r>
              <w:rPr>
                <w:rFonts w:ascii="Times New Roman" w:hAnsi="Times New Roman" w:cs="Times New Roman"/>
              </w:rPr>
              <w:t>Environmental and Social Commitment Plan</w:t>
            </w:r>
          </w:p>
        </w:tc>
      </w:tr>
      <w:tr w14:paraId="11A08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6D66B90B">
            <w:pPr>
              <w:spacing w:after="0" w:line="360" w:lineRule="auto"/>
              <w:rPr>
                <w:rFonts w:ascii="Times New Roman" w:hAnsi="Times New Roman" w:cs="Times New Roman"/>
              </w:rPr>
            </w:pPr>
            <w:r>
              <w:rPr>
                <w:rFonts w:ascii="Times New Roman" w:hAnsi="Times New Roman" w:cs="Times New Roman"/>
              </w:rPr>
              <w:t>ESMP</w:t>
            </w:r>
          </w:p>
        </w:tc>
        <w:tc>
          <w:tcPr>
            <w:tcW w:w="709" w:type="dxa"/>
          </w:tcPr>
          <w:p w14:paraId="18D5D236">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5DEE14CB">
            <w:pPr>
              <w:spacing w:after="0" w:line="360" w:lineRule="auto"/>
              <w:rPr>
                <w:rFonts w:ascii="Times New Roman" w:hAnsi="Times New Roman" w:cs="Times New Roman"/>
              </w:rPr>
            </w:pPr>
            <w:r>
              <w:rPr>
                <w:rFonts w:ascii="Times New Roman" w:hAnsi="Times New Roman" w:cs="Times New Roman"/>
              </w:rPr>
              <w:t>Environmental and Social Management Plan</w:t>
            </w:r>
          </w:p>
        </w:tc>
      </w:tr>
      <w:tr w14:paraId="76FA10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55A52AF8">
            <w:pPr>
              <w:spacing w:after="0" w:line="360" w:lineRule="auto"/>
              <w:rPr>
                <w:rFonts w:ascii="Times New Roman" w:hAnsi="Times New Roman" w:cs="Times New Roman"/>
              </w:rPr>
            </w:pPr>
            <w:r>
              <w:rPr>
                <w:rFonts w:ascii="Times New Roman" w:hAnsi="Times New Roman" w:cs="Times New Roman"/>
              </w:rPr>
              <w:t>ESS</w:t>
            </w:r>
          </w:p>
          <w:p w14:paraId="57242D27">
            <w:pPr>
              <w:spacing w:after="0" w:line="360" w:lineRule="auto"/>
              <w:rPr>
                <w:rFonts w:ascii="Times New Roman" w:hAnsi="Times New Roman" w:cs="Times New Roman"/>
              </w:rPr>
            </w:pPr>
            <w:r>
              <w:rPr>
                <w:rFonts w:ascii="Times New Roman" w:hAnsi="Times New Roman" w:cs="Times New Roman"/>
              </w:rPr>
              <w:t>EU</w:t>
            </w:r>
          </w:p>
        </w:tc>
        <w:tc>
          <w:tcPr>
            <w:tcW w:w="709" w:type="dxa"/>
          </w:tcPr>
          <w:p w14:paraId="195F7071">
            <w:pPr>
              <w:spacing w:after="0" w:line="360" w:lineRule="auto"/>
              <w:rPr>
                <w:rFonts w:ascii="Times New Roman" w:hAnsi="Times New Roman" w:cs="Times New Roman"/>
              </w:rPr>
            </w:pPr>
            <w:r>
              <w:rPr>
                <w:rFonts w:ascii="Times New Roman" w:hAnsi="Times New Roman" w:cs="Times New Roman"/>
              </w:rPr>
              <w:t>-</w:t>
            </w:r>
          </w:p>
          <w:p w14:paraId="21E52443">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38D964EB">
            <w:pPr>
              <w:spacing w:after="0" w:line="360" w:lineRule="auto"/>
              <w:rPr>
                <w:rFonts w:ascii="Times New Roman" w:hAnsi="Times New Roman" w:cs="Times New Roman"/>
              </w:rPr>
            </w:pPr>
            <w:r>
              <w:rPr>
                <w:rFonts w:ascii="Times New Roman" w:hAnsi="Times New Roman" w:cs="Times New Roman"/>
              </w:rPr>
              <w:t>Environmental and Social Standard</w:t>
            </w:r>
          </w:p>
          <w:p w14:paraId="6EACD1D0">
            <w:pPr>
              <w:spacing w:after="0" w:line="360" w:lineRule="auto"/>
              <w:rPr>
                <w:rFonts w:ascii="Times New Roman" w:hAnsi="Times New Roman" w:cs="Times New Roman"/>
              </w:rPr>
            </w:pPr>
            <w:r>
              <w:rPr>
                <w:rFonts w:ascii="Times New Roman" w:hAnsi="Times New Roman" w:cs="Times New Roman"/>
              </w:rPr>
              <w:t>European Union</w:t>
            </w:r>
          </w:p>
        </w:tc>
      </w:tr>
      <w:tr w14:paraId="5F5F9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725B971E">
            <w:pPr>
              <w:spacing w:after="0" w:line="360" w:lineRule="auto"/>
              <w:rPr>
                <w:rFonts w:ascii="Times New Roman" w:hAnsi="Times New Roman" w:cs="Times New Roman"/>
              </w:rPr>
            </w:pPr>
            <w:r>
              <w:rPr>
                <w:rFonts w:ascii="Times New Roman" w:hAnsi="Times New Roman"/>
              </w:rPr>
              <w:t>GRM</w:t>
            </w:r>
          </w:p>
        </w:tc>
        <w:tc>
          <w:tcPr>
            <w:tcW w:w="709" w:type="dxa"/>
          </w:tcPr>
          <w:p w14:paraId="3EC15C80">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1B06650E">
            <w:pPr>
              <w:spacing w:after="0" w:line="360" w:lineRule="auto"/>
              <w:rPr>
                <w:rFonts w:ascii="Times New Roman" w:hAnsi="Times New Roman" w:cs="Times New Roman"/>
              </w:rPr>
            </w:pPr>
            <w:r>
              <w:rPr>
                <w:rFonts w:ascii="Times New Roman" w:hAnsi="Times New Roman"/>
              </w:rPr>
              <w:t>Grievance Redress Mechanism</w:t>
            </w:r>
          </w:p>
        </w:tc>
      </w:tr>
      <w:tr w14:paraId="186A3C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7196BE7C">
            <w:pPr>
              <w:spacing w:after="0" w:line="360" w:lineRule="auto"/>
              <w:rPr>
                <w:rFonts w:ascii="Times New Roman" w:hAnsi="Times New Roman" w:eastAsia="Times New Roman" w:cs="Times New Roman"/>
                <w:color w:val="000000"/>
                <w:lang w:eastAsia="ru-RU"/>
              </w:rPr>
            </w:pPr>
            <w:r>
              <w:rPr>
                <w:rFonts w:ascii="Times New Roman" w:hAnsi="Times New Roman" w:cs="Times New Roman"/>
              </w:rPr>
              <w:t>MCS</w:t>
            </w:r>
          </w:p>
        </w:tc>
        <w:tc>
          <w:tcPr>
            <w:tcW w:w="709" w:type="dxa"/>
          </w:tcPr>
          <w:p w14:paraId="3F168FEF">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5F9CAB73">
            <w:pPr>
              <w:spacing w:after="0" w:line="360" w:lineRule="auto"/>
              <w:rPr>
                <w:rFonts w:ascii="Times New Roman" w:hAnsi="Times New Roman" w:eastAsia="Times New Roman" w:cs="Times New Roman"/>
                <w:color w:val="000000"/>
                <w:lang w:eastAsia="ru-RU"/>
              </w:rPr>
            </w:pPr>
            <w:r>
              <w:rPr>
                <w:rFonts w:ascii="Times New Roman" w:hAnsi="Times New Roman" w:cs="Times New Roman"/>
              </w:rPr>
              <w:t>Moldovan Custom Service</w:t>
            </w:r>
          </w:p>
        </w:tc>
      </w:tr>
      <w:tr w14:paraId="422EDA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2" w:hRule="atLeast"/>
        </w:trPr>
        <w:tc>
          <w:tcPr>
            <w:tcW w:w="889" w:type="dxa"/>
            <w:vAlign w:val="center"/>
          </w:tcPr>
          <w:p w14:paraId="1AF6DF87">
            <w:pPr>
              <w:spacing w:after="0" w:line="360" w:lineRule="auto"/>
              <w:rPr>
                <w:rFonts w:ascii="Times New Roman" w:hAnsi="Times New Roman"/>
              </w:rPr>
            </w:pPr>
            <w:r>
              <w:rPr>
                <w:rFonts w:ascii="Times New Roman" w:hAnsi="Times New Roman"/>
              </w:rPr>
              <w:t>M&amp;E</w:t>
            </w:r>
          </w:p>
          <w:p w14:paraId="50374B32">
            <w:pPr>
              <w:spacing w:after="0" w:line="360" w:lineRule="auto"/>
              <w:rPr>
                <w:rFonts w:ascii="Times New Roman" w:hAnsi="Times New Roman"/>
              </w:rPr>
            </w:pPr>
            <w:r>
              <w:rPr>
                <w:rFonts w:ascii="Times New Roman" w:hAnsi="Times New Roman"/>
              </w:rPr>
              <w:t>MIRD</w:t>
            </w:r>
          </w:p>
          <w:p w14:paraId="3EA4F53C">
            <w:pPr>
              <w:spacing w:after="0" w:line="360" w:lineRule="auto"/>
              <w:rPr>
                <w:rFonts w:ascii="Times New Roman" w:hAnsi="Times New Roman" w:cs="Times New Roman"/>
              </w:rPr>
            </w:pPr>
            <w:r>
              <w:rPr>
                <w:rFonts w:ascii="Times New Roman" w:hAnsi="Times New Roman"/>
              </w:rPr>
              <w:t>MoF</w:t>
            </w:r>
          </w:p>
        </w:tc>
        <w:tc>
          <w:tcPr>
            <w:tcW w:w="709" w:type="dxa"/>
          </w:tcPr>
          <w:p w14:paraId="03A6805A">
            <w:pPr>
              <w:spacing w:after="0" w:line="360" w:lineRule="auto"/>
              <w:rPr>
                <w:rFonts w:ascii="Times New Roman" w:hAnsi="Times New Roman" w:cs="Times New Roman"/>
              </w:rPr>
            </w:pPr>
            <w:r>
              <w:rPr>
                <w:rFonts w:ascii="Times New Roman" w:hAnsi="Times New Roman" w:cs="Times New Roman"/>
              </w:rPr>
              <w:t>-</w:t>
            </w:r>
          </w:p>
          <w:p w14:paraId="7645F325">
            <w:pPr>
              <w:spacing w:after="0" w:line="360" w:lineRule="auto"/>
              <w:rPr>
                <w:rFonts w:ascii="Times New Roman" w:hAnsi="Times New Roman" w:cs="Times New Roman"/>
              </w:rPr>
            </w:pPr>
            <w:r>
              <w:rPr>
                <w:rFonts w:ascii="Times New Roman" w:hAnsi="Times New Roman" w:cs="Times New Roman"/>
              </w:rPr>
              <w:t>-</w:t>
            </w:r>
          </w:p>
          <w:p w14:paraId="5960C53A">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36CF92F5">
            <w:pPr>
              <w:spacing w:after="0" w:line="360" w:lineRule="auto"/>
              <w:rPr>
                <w:rFonts w:ascii="Times New Roman" w:hAnsi="Times New Roman"/>
              </w:rPr>
            </w:pPr>
            <w:r>
              <w:rPr>
                <w:rFonts w:ascii="Times New Roman" w:hAnsi="Times New Roman"/>
              </w:rPr>
              <w:t xml:space="preserve">Monitoring &amp; Evaluation </w:t>
            </w:r>
          </w:p>
          <w:p w14:paraId="24033B26">
            <w:pPr>
              <w:spacing w:after="0" w:line="360" w:lineRule="auto"/>
              <w:rPr>
                <w:rFonts w:ascii="Times New Roman" w:hAnsi="Times New Roman"/>
              </w:rPr>
            </w:pPr>
            <w:r>
              <w:rPr>
                <w:rFonts w:ascii="Times New Roman" w:hAnsi="Times New Roman" w:cs="Times New Roman"/>
              </w:rPr>
              <w:t xml:space="preserve">Ministry of Infrastructure and Regional Development </w:t>
            </w:r>
          </w:p>
          <w:p w14:paraId="707B3861">
            <w:pPr>
              <w:spacing w:after="0" w:line="360" w:lineRule="auto"/>
              <w:rPr>
                <w:rFonts w:ascii="Times New Roman" w:hAnsi="Times New Roman" w:cs="Times New Roman"/>
              </w:rPr>
            </w:pPr>
            <w:r>
              <w:rPr>
                <w:rFonts w:ascii="Times New Roman" w:hAnsi="Times New Roman" w:cs="Times New Roman"/>
              </w:rPr>
              <w:t xml:space="preserve">Ministry of Finance </w:t>
            </w:r>
          </w:p>
        </w:tc>
      </w:tr>
      <w:tr w14:paraId="0795D8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A74AA6B">
            <w:pPr>
              <w:spacing w:after="0" w:line="360" w:lineRule="auto"/>
              <w:rPr>
                <w:rFonts w:ascii="Times New Roman" w:hAnsi="Times New Roman" w:cs="Times New Roman"/>
              </w:rPr>
            </w:pPr>
            <w:r>
              <w:rPr>
                <w:rFonts w:ascii="Times New Roman" w:hAnsi="Times New Roman"/>
              </w:rPr>
              <w:t>OHS</w:t>
            </w:r>
          </w:p>
        </w:tc>
        <w:tc>
          <w:tcPr>
            <w:tcW w:w="709" w:type="dxa"/>
          </w:tcPr>
          <w:p w14:paraId="08BA9BF2">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79FD5AEB">
            <w:pPr>
              <w:spacing w:after="0" w:line="360" w:lineRule="auto"/>
              <w:rPr>
                <w:rFonts w:ascii="Times New Roman" w:hAnsi="Times New Roman" w:cs="Times New Roman"/>
              </w:rPr>
            </w:pPr>
            <w:r>
              <w:rPr>
                <w:rFonts w:ascii="Times New Roman" w:hAnsi="Times New Roman"/>
              </w:rPr>
              <w:t>Occupational Health and Safety</w:t>
            </w:r>
          </w:p>
        </w:tc>
      </w:tr>
      <w:tr w14:paraId="05F32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428CAD59">
            <w:pPr>
              <w:spacing w:after="0" w:line="360" w:lineRule="auto"/>
              <w:rPr>
                <w:rFonts w:ascii="Times New Roman" w:hAnsi="Times New Roman" w:cs="Times New Roman"/>
              </w:rPr>
            </w:pPr>
            <w:r>
              <w:rPr>
                <w:rFonts w:ascii="Times New Roman" w:hAnsi="Times New Roman" w:cs="Times New Roman"/>
              </w:rPr>
              <w:t>PAP</w:t>
            </w:r>
          </w:p>
          <w:p w14:paraId="1AA1FB6F">
            <w:pPr>
              <w:spacing w:after="0" w:line="360" w:lineRule="auto"/>
              <w:rPr>
                <w:rFonts w:ascii="Times New Roman" w:hAnsi="Times New Roman" w:cs="Times New Roman"/>
              </w:rPr>
            </w:pPr>
            <w:r>
              <w:rPr>
                <w:rFonts w:ascii="Times New Roman" w:hAnsi="Times New Roman" w:cs="Times New Roman"/>
              </w:rPr>
              <w:t>PDO</w:t>
            </w:r>
          </w:p>
        </w:tc>
        <w:tc>
          <w:tcPr>
            <w:tcW w:w="709" w:type="dxa"/>
          </w:tcPr>
          <w:p w14:paraId="183DF441">
            <w:pPr>
              <w:spacing w:after="0" w:line="360" w:lineRule="auto"/>
              <w:rPr>
                <w:rFonts w:ascii="Times New Roman" w:hAnsi="Times New Roman" w:cs="Times New Roman"/>
              </w:rPr>
            </w:pPr>
            <w:r>
              <w:rPr>
                <w:rFonts w:ascii="Times New Roman" w:hAnsi="Times New Roman" w:cs="Times New Roman"/>
              </w:rPr>
              <w:t>-</w:t>
            </w:r>
          </w:p>
          <w:p w14:paraId="5337931C">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3679B222">
            <w:pPr>
              <w:spacing w:after="0" w:line="360" w:lineRule="auto"/>
              <w:rPr>
                <w:rFonts w:ascii="Times New Roman" w:hAnsi="Times New Roman" w:cs="Times New Roman"/>
              </w:rPr>
            </w:pPr>
            <w:r>
              <w:rPr>
                <w:rFonts w:ascii="Times New Roman" w:hAnsi="Times New Roman" w:cs="Times New Roman"/>
              </w:rPr>
              <w:t>Project Affected Person</w:t>
            </w:r>
          </w:p>
          <w:p w14:paraId="16138572">
            <w:pPr>
              <w:spacing w:after="0" w:line="360" w:lineRule="auto"/>
              <w:rPr>
                <w:rFonts w:ascii="Times New Roman" w:hAnsi="Times New Roman" w:cs="Times New Roman"/>
              </w:rPr>
            </w:pPr>
            <w:r>
              <w:rPr>
                <w:rFonts w:ascii="Times New Roman" w:hAnsi="Times New Roman" w:cs="Times New Roman"/>
              </w:rPr>
              <w:t>Project Development Objective</w:t>
            </w:r>
          </w:p>
        </w:tc>
      </w:tr>
      <w:tr w14:paraId="1721ED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5CE9D255">
            <w:pPr>
              <w:spacing w:after="0" w:line="360" w:lineRule="auto"/>
              <w:rPr>
                <w:rFonts w:ascii="Times New Roman" w:hAnsi="Times New Roman" w:cs="Times New Roman"/>
              </w:rPr>
            </w:pPr>
            <w:r>
              <w:rPr>
                <w:rFonts w:ascii="Times New Roman" w:hAnsi="Times New Roman"/>
              </w:rPr>
              <w:t>PIU</w:t>
            </w:r>
          </w:p>
        </w:tc>
        <w:tc>
          <w:tcPr>
            <w:tcW w:w="709" w:type="dxa"/>
          </w:tcPr>
          <w:p w14:paraId="1136E48B">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01EA5DED">
            <w:pPr>
              <w:spacing w:after="0" w:line="360" w:lineRule="auto"/>
              <w:rPr>
                <w:rFonts w:ascii="Times New Roman" w:hAnsi="Times New Roman" w:cs="Times New Roman"/>
              </w:rPr>
            </w:pPr>
            <w:r>
              <w:rPr>
                <w:rFonts w:ascii="Times New Roman" w:hAnsi="Times New Roman"/>
              </w:rPr>
              <w:t xml:space="preserve">Project Implementation Unit </w:t>
            </w:r>
          </w:p>
        </w:tc>
      </w:tr>
      <w:tr w14:paraId="13EFBE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0BAB598A">
            <w:pPr>
              <w:spacing w:after="0" w:line="360" w:lineRule="auto"/>
              <w:rPr>
                <w:rFonts w:ascii="Times New Roman" w:hAnsi="Times New Roman"/>
              </w:rPr>
            </w:pPr>
            <w:r>
              <w:rPr>
                <w:rFonts w:ascii="Times New Roman" w:hAnsi="Times New Roman"/>
              </w:rPr>
              <w:t>PPE</w:t>
            </w:r>
          </w:p>
        </w:tc>
        <w:tc>
          <w:tcPr>
            <w:tcW w:w="709" w:type="dxa"/>
          </w:tcPr>
          <w:p w14:paraId="4796CBBD">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7F12EBDF">
            <w:pPr>
              <w:spacing w:after="0" w:line="360" w:lineRule="auto"/>
              <w:rPr>
                <w:rFonts w:ascii="Times New Roman" w:hAnsi="Times New Roman"/>
              </w:rPr>
            </w:pPr>
            <w:r>
              <w:rPr>
                <w:rFonts w:ascii="Times New Roman" w:hAnsi="Times New Roman"/>
              </w:rPr>
              <w:t>Personal Protective Equipment</w:t>
            </w:r>
          </w:p>
        </w:tc>
      </w:tr>
      <w:tr w14:paraId="652358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0DBD62D1">
            <w:pPr>
              <w:spacing w:after="0" w:line="360" w:lineRule="auto"/>
              <w:rPr>
                <w:rFonts w:ascii="Times New Roman" w:hAnsi="Times New Roman" w:cs="Times New Roman"/>
              </w:rPr>
            </w:pPr>
            <w:r>
              <w:rPr>
                <w:rFonts w:ascii="Times New Roman" w:hAnsi="Times New Roman" w:cs="Times New Roman"/>
              </w:rPr>
              <w:t>SBR</w:t>
            </w:r>
          </w:p>
          <w:p w14:paraId="6F6D05E6">
            <w:pPr>
              <w:spacing w:after="0" w:line="360" w:lineRule="auto"/>
              <w:rPr>
                <w:rFonts w:ascii="Times New Roman" w:hAnsi="Times New Roman" w:cs="Times New Roman"/>
              </w:rPr>
            </w:pPr>
            <w:r>
              <w:rPr>
                <w:rFonts w:ascii="Times New Roman" w:hAnsi="Times New Roman" w:cs="Times New Roman"/>
              </w:rPr>
              <w:t>SEA/SH</w:t>
            </w:r>
          </w:p>
        </w:tc>
        <w:tc>
          <w:tcPr>
            <w:tcW w:w="709" w:type="dxa"/>
          </w:tcPr>
          <w:p w14:paraId="01F16A41">
            <w:pPr>
              <w:spacing w:after="0" w:line="360" w:lineRule="auto"/>
              <w:rPr>
                <w:rFonts w:ascii="Times New Roman" w:hAnsi="Times New Roman" w:cs="Times New Roman"/>
              </w:rPr>
            </w:pPr>
            <w:r>
              <w:rPr>
                <w:rFonts w:ascii="Times New Roman" w:hAnsi="Times New Roman" w:cs="Times New Roman"/>
              </w:rPr>
              <w:t>-</w:t>
            </w:r>
          </w:p>
          <w:p w14:paraId="448845FC">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600482FD">
            <w:pPr>
              <w:spacing w:after="0" w:line="360" w:lineRule="auto"/>
              <w:rPr>
                <w:rFonts w:ascii="Times New Roman" w:hAnsi="Times New Roman" w:cs="Times New Roman"/>
              </w:rPr>
            </w:pPr>
            <w:r>
              <w:rPr>
                <w:rFonts w:ascii="Times New Roman" w:hAnsi="Times New Roman" w:cs="Times New Roman"/>
              </w:rPr>
              <w:t>Sequencing Batch Reactor</w:t>
            </w:r>
          </w:p>
          <w:p w14:paraId="3AF1B115">
            <w:pPr>
              <w:spacing w:after="0" w:line="360" w:lineRule="auto"/>
              <w:rPr>
                <w:rFonts w:ascii="Times New Roman" w:hAnsi="Times New Roman" w:cs="Times New Roman"/>
              </w:rPr>
            </w:pPr>
            <w:r>
              <w:rPr>
                <w:rFonts w:ascii="Times New Roman" w:hAnsi="Times New Roman" w:cs="Times New Roman"/>
                <w:color w:val="000000"/>
              </w:rPr>
              <w:t>Sexual Exploitation, Abuse, and Harassment</w:t>
            </w:r>
          </w:p>
        </w:tc>
      </w:tr>
      <w:tr w14:paraId="43D683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81973AC">
            <w:pPr>
              <w:spacing w:after="0" w:line="360" w:lineRule="auto"/>
              <w:rPr>
                <w:rFonts w:ascii="Times New Roman" w:hAnsi="Times New Roman" w:cs="Times New Roman"/>
              </w:rPr>
            </w:pPr>
            <w:r>
              <w:rPr>
                <w:rFonts w:ascii="Times New Roman" w:hAnsi="Times New Roman" w:cs="Times New Roman"/>
              </w:rPr>
              <w:t>SEP</w:t>
            </w:r>
          </w:p>
        </w:tc>
        <w:tc>
          <w:tcPr>
            <w:tcW w:w="709" w:type="dxa"/>
          </w:tcPr>
          <w:p w14:paraId="237742D6">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314BCBCF">
            <w:pPr>
              <w:spacing w:after="0" w:line="360" w:lineRule="auto"/>
              <w:rPr>
                <w:rFonts w:ascii="Times New Roman" w:hAnsi="Times New Roman" w:cs="Times New Roman"/>
              </w:rPr>
            </w:pPr>
            <w:r>
              <w:rPr>
                <w:rFonts w:ascii="Times New Roman" w:hAnsi="Times New Roman" w:cs="Times New Roman"/>
              </w:rPr>
              <w:t>Stakeholder Engagement Plan</w:t>
            </w:r>
          </w:p>
        </w:tc>
      </w:tr>
      <w:tr w14:paraId="54150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89" w:type="dxa"/>
            <w:vAlign w:val="center"/>
          </w:tcPr>
          <w:p w14:paraId="1777857A">
            <w:pPr>
              <w:spacing w:after="0" w:line="360" w:lineRule="auto"/>
              <w:rPr>
                <w:rFonts w:ascii="Times New Roman" w:hAnsi="Times New Roman" w:cs="Times New Roman"/>
              </w:rPr>
            </w:pPr>
            <w:r>
              <w:rPr>
                <w:rFonts w:ascii="Times New Roman" w:hAnsi="Times New Roman" w:cs="Times New Roman"/>
              </w:rPr>
              <w:t>TIRs</w:t>
            </w:r>
          </w:p>
        </w:tc>
        <w:tc>
          <w:tcPr>
            <w:tcW w:w="709" w:type="dxa"/>
            <w:vAlign w:val="center"/>
          </w:tcPr>
          <w:p w14:paraId="5F4859C2">
            <w:pPr>
              <w:spacing w:after="0" w:line="360" w:lineRule="auto"/>
              <w:rPr>
                <w:rFonts w:ascii="Times New Roman" w:hAnsi="Times New Roman" w:cs="Times New Roman"/>
              </w:rPr>
            </w:pPr>
            <w:r>
              <w:rPr>
                <w:rFonts w:ascii="Times New Roman" w:hAnsi="Times New Roman" w:cs="Times New Roman"/>
              </w:rPr>
              <w:t>-</w:t>
            </w:r>
          </w:p>
        </w:tc>
        <w:tc>
          <w:tcPr>
            <w:tcW w:w="7342" w:type="dxa"/>
            <w:vAlign w:val="center"/>
          </w:tcPr>
          <w:p w14:paraId="75A84968">
            <w:pPr>
              <w:spacing w:after="0" w:line="360" w:lineRule="auto"/>
              <w:rPr>
                <w:rFonts w:ascii="Times New Roman" w:hAnsi="Times New Roman" w:cs="Times New Roman"/>
              </w:rPr>
            </w:pPr>
            <w:r>
              <w:rPr>
                <w:rFonts w:ascii="Times New Roman" w:hAnsi="Times New Roman" w:cs="Times New Roman"/>
              </w:rPr>
              <w:t>Trucks operating under the TIR (“Transports Internationaux Routiers”) Convention (International Road Transport)</w:t>
            </w:r>
          </w:p>
        </w:tc>
      </w:tr>
      <w:tr w14:paraId="257BA2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 w:hRule="atLeast"/>
        </w:trPr>
        <w:tc>
          <w:tcPr>
            <w:tcW w:w="889" w:type="dxa"/>
            <w:vAlign w:val="center"/>
          </w:tcPr>
          <w:p w14:paraId="454C4ED0">
            <w:pPr>
              <w:spacing w:after="0" w:line="360" w:lineRule="auto"/>
              <w:rPr>
                <w:rFonts w:ascii="Times New Roman" w:hAnsi="Times New Roman" w:cs="Times New Roman"/>
              </w:rPr>
            </w:pPr>
            <w:r>
              <w:rPr>
                <w:rFonts w:ascii="Times New Roman" w:hAnsi="Times New Roman" w:cs="Times New Roman"/>
              </w:rPr>
              <w:t xml:space="preserve">WB </w:t>
            </w:r>
          </w:p>
          <w:p w14:paraId="1B785FD3">
            <w:pPr>
              <w:spacing w:after="0" w:line="360" w:lineRule="auto"/>
              <w:rPr>
                <w:rFonts w:ascii="Times New Roman" w:hAnsi="Times New Roman" w:cs="Times New Roman"/>
              </w:rPr>
            </w:pPr>
            <w:r>
              <w:rPr>
                <w:rFonts w:ascii="Times New Roman" w:hAnsi="Times New Roman" w:cs="Times New Roman"/>
              </w:rPr>
              <w:t>WWTP</w:t>
            </w:r>
          </w:p>
        </w:tc>
        <w:tc>
          <w:tcPr>
            <w:tcW w:w="709" w:type="dxa"/>
            <w:vAlign w:val="center"/>
          </w:tcPr>
          <w:p w14:paraId="7400E875">
            <w:pPr>
              <w:spacing w:after="0" w:line="360" w:lineRule="auto"/>
              <w:rPr>
                <w:rFonts w:ascii="Times New Roman" w:hAnsi="Times New Roman" w:cs="Times New Roman"/>
              </w:rPr>
            </w:pPr>
            <w:r>
              <w:rPr>
                <w:rFonts w:ascii="Times New Roman" w:hAnsi="Times New Roman" w:cs="Times New Roman"/>
              </w:rPr>
              <w:t>-</w:t>
            </w:r>
          </w:p>
          <w:p w14:paraId="61E2C34B">
            <w:pPr>
              <w:spacing w:after="0" w:line="360" w:lineRule="auto"/>
              <w:rPr>
                <w:rFonts w:ascii="Times New Roman" w:hAnsi="Times New Roman" w:cs="Times New Roman"/>
              </w:rPr>
            </w:pPr>
            <w:r>
              <w:rPr>
                <w:rFonts w:ascii="Times New Roman" w:hAnsi="Times New Roman" w:cs="Times New Roman"/>
              </w:rPr>
              <w:t xml:space="preserve">- </w:t>
            </w:r>
          </w:p>
        </w:tc>
        <w:tc>
          <w:tcPr>
            <w:tcW w:w="7342" w:type="dxa"/>
            <w:vAlign w:val="center"/>
          </w:tcPr>
          <w:p w14:paraId="536AF893">
            <w:pPr>
              <w:spacing w:after="0" w:line="360" w:lineRule="auto"/>
              <w:rPr>
                <w:rFonts w:ascii="Times New Roman" w:hAnsi="Times New Roman" w:cs="Times New Roman"/>
              </w:rPr>
            </w:pPr>
            <w:r>
              <w:rPr>
                <w:rFonts w:ascii="Times New Roman" w:hAnsi="Times New Roman" w:cs="Times New Roman"/>
              </w:rPr>
              <w:t>World Bank</w:t>
            </w:r>
          </w:p>
          <w:p w14:paraId="49CF018F">
            <w:pPr>
              <w:spacing w:after="0" w:line="360" w:lineRule="auto"/>
              <w:rPr>
                <w:rFonts w:ascii="Times New Roman" w:hAnsi="Times New Roman" w:cs="Times New Roman"/>
                <w:b/>
              </w:rPr>
            </w:pPr>
            <w:r>
              <w:rPr>
                <w:rFonts w:ascii="Times New Roman" w:hAnsi="Times New Roman" w:cs="Times New Roman"/>
              </w:rPr>
              <w:t>Wastewater Treatment Plant</w:t>
            </w:r>
          </w:p>
        </w:tc>
      </w:tr>
    </w:tbl>
    <w:p w14:paraId="3AE74A72">
      <w:pPr>
        <w:pStyle w:val="4"/>
        <w:rPr>
          <w:rFonts w:ascii="Times New Roman" w:hAnsi="Times New Roman" w:eastAsia="Times New Roman" w:cs="Times New Roman"/>
          <w:b/>
          <w:bCs/>
          <w:sz w:val="22"/>
          <w:szCs w:val="22"/>
          <w:lang w:eastAsia="ru-RU"/>
        </w:rPr>
      </w:pPr>
    </w:p>
    <w:p w14:paraId="731021BB">
      <w:pPr>
        <w:rPr>
          <w:lang w:eastAsia="ru-RU"/>
        </w:rPr>
      </w:pPr>
    </w:p>
    <w:p w14:paraId="69F4F230">
      <w:pPr>
        <w:rPr>
          <w:lang w:eastAsia="ru-RU"/>
        </w:rPr>
      </w:pPr>
    </w:p>
    <w:p w14:paraId="472EFBB0">
      <w:pPr>
        <w:rPr>
          <w:lang w:eastAsia="ru-RU"/>
        </w:rPr>
      </w:pPr>
    </w:p>
    <w:p w14:paraId="5F1D79B7">
      <w:pPr>
        <w:rPr>
          <w:lang w:eastAsia="ru-RU"/>
        </w:rPr>
      </w:pPr>
    </w:p>
    <w:p w14:paraId="72FD54BD">
      <w:pPr>
        <w:rPr>
          <w:lang w:eastAsia="ru-RU"/>
        </w:rPr>
      </w:pPr>
    </w:p>
    <w:p w14:paraId="134E1BD1">
      <w:pPr>
        <w:rPr>
          <w:lang w:eastAsia="ru-RU"/>
        </w:rPr>
      </w:pPr>
    </w:p>
    <w:p w14:paraId="15FBAB8D">
      <w:pPr>
        <w:pStyle w:val="22"/>
        <w:spacing w:before="0" w:beforeAutospacing="0" w:after="0" w:afterAutospacing="0" w:line="276" w:lineRule="auto"/>
        <w:jc w:val="both"/>
        <w:rPr>
          <w:b/>
          <w:bCs/>
          <w:sz w:val="22"/>
          <w:szCs w:val="22"/>
          <w:lang w:val="en-US"/>
        </w:rPr>
      </w:pPr>
    </w:p>
    <w:p w14:paraId="5F7D1D2E">
      <w:pPr>
        <w:pStyle w:val="22"/>
        <w:spacing w:before="0" w:beforeAutospacing="0" w:after="0" w:afterAutospacing="0" w:line="276" w:lineRule="auto"/>
        <w:jc w:val="both"/>
        <w:rPr>
          <w:b/>
          <w:bCs/>
          <w:sz w:val="22"/>
          <w:szCs w:val="22"/>
          <w:lang w:val="en-US"/>
        </w:rPr>
      </w:pPr>
      <w:r>
        <w:rPr>
          <w:b/>
          <w:bCs/>
          <w:sz w:val="22"/>
          <w:szCs w:val="22"/>
          <w:lang w:val="en-US"/>
        </w:rPr>
        <w:t xml:space="preserve">Introduction </w:t>
      </w:r>
    </w:p>
    <w:p w14:paraId="0178D338">
      <w:pPr>
        <w:spacing w:line="276" w:lineRule="auto"/>
        <w:jc w:val="both"/>
        <w:rPr>
          <w:rFonts w:ascii="Times New Roman" w:hAnsi="Times New Roman" w:cs="Times New Roman"/>
        </w:rPr>
      </w:pPr>
      <w:r>
        <w:rPr>
          <w:rFonts w:ascii="Times New Roman" w:hAnsi="Times New Roman" w:cs="Times New Roman"/>
        </w:rPr>
        <w:t xml:space="preserve">The Republic of Moldova will implement the </w:t>
      </w:r>
      <w:r>
        <w:rPr>
          <w:rFonts w:ascii="Times New Roman" w:hAnsi="Times New Roman" w:cs="Times New Roman"/>
          <w:b/>
          <w:bCs/>
        </w:rPr>
        <w:t>Moldova Rural Connectivity Project</w:t>
      </w:r>
      <w:r>
        <w:rPr>
          <w:rFonts w:ascii="Times New Roman" w:hAnsi="Times New Roman" w:cs="Times New Roman"/>
        </w:rPr>
        <w:t xml:space="preserve"> (</w:t>
      </w:r>
      <w:r>
        <w:rPr>
          <w:rFonts w:ascii="Times New Roman" w:hAnsi="Times New Roman" w:cs="Times New Roman"/>
          <w:b/>
          <w:bCs/>
        </w:rPr>
        <w:t>the Project</w:t>
      </w:r>
      <w:r>
        <w:rPr>
          <w:rFonts w:ascii="Times New Roman" w:hAnsi="Times New Roman" w:cs="Times New Roman"/>
        </w:rPr>
        <w:t>), with the involvement of the Ministry of Finance (MoF) through the Moldova Custom Service (MCS), and of the Ministry of Infrastructure and Regional Development (MIRD) through the State Roads Administration (SRA), with the financing of the International Bank for Reconstruction and Development (the World Bank).</w:t>
      </w:r>
    </w:p>
    <w:p w14:paraId="4B543A67">
      <w:pPr>
        <w:spacing w:line="276" w:lineRule="auto"/>
        <w:jc w:val="both"/>
        <w:rPr>
          <w:rFonts w:ascii="Times New Roman" w:hAnsi="Times New Roman" w:cs="Times New Roman"/>
        </w:rPr>
      </w:pPr>
      <w:r>
        <w:rPr>
          <w:rFonts w:ascii="Times New Roman" w:hAnsi="Times New Roman" w:cs="Times New Roman"/>
        </w:rPr>
        <w:t>The beneficiary institutions shall ensure that the Project is carried out in accordance with the Environmental and Social Standards (ESSs) and the Project’s Environmental and Social Commitment Plan (ESCP), in a manner acceptable to the World Bank.</w:t>
      </w:r>
    </w:p>
    <w:p w14:paraId="17B6CF92">
      <w:pPr>
        <w:spacing w:line="276" w:lineRule="auto"/>
        <w:jc w:val="both"/>
        <w:rPr>
          <w:rFonts w:ascii="Times New Roman" w:hAnsi="Times New Roman" w:cs="Times New Roman"/>
        </w:rPr>
      </w:pPr>
      <w:r>
        <w:rPr>
          <w:rFonts w:ascii="Times New Roman" w:hAnsi="Times New Roman" w:cs="Times New Roman"/>
        </w:rPr>
        <w:t>The Project Development Objective (PDO) is: (i) to improve climate-resilient road connectivity in selected rural communities; (ii) to enhance road transit through selected border crossings with Romania; and (iii) in case of an Eligible Crisis or Emergency, to respond promptly and effectively to it.</w:t>
      </w:r>
    </w:p>
    <w:p w14:paraId="14019A3A">
      <w:pPr>
        <w:spacing w:line="276" w:lineRule="auto"/>
        <w:jc w:val="both"/>
        <w:rPr>
          <w:rFonts w:ascii="Times New Roman" w:hAnsi="Times New Roman" w:cs="Times New Roman"/>
        </w:rPr>
      </w:pPr>
      <w:r>
        <w:rPr>
          <w:rFonts w:ascii="Times New Roman" w:hAnsi="Times New Roman" w:cs="Times New Roman"/>
        </w:rPr>
        <w:t xml:space="preserve">The Project’s design consists of four components: (i) Component A will finance physical works needed to link local communities with public services and economic opportunities, building on the previous support to the Government’s upgrade of a prioritized network of local and regional roads ; (ii) Component B will facilitate trade and expand Solidarity Lanes, by increasing capacities and modernizing the Ungheni, Leuseni and Giurgiulesti border crossing points (BCPs) and the access roads connecting them; (iii) Component C will finance interventions aimed at enhancing delivery capacity and supporting essential project management functions; and (iv) Component D will provide a standby Contingent Emergency Response capability should the need arise. </w:t>
      </w:r>
    </w:p>
    <w:p w14:paraId="3B0E098D">
      <w:pPr>
        <w:spacing w:line="276" w:lineRule="auto"/>
        <w:jc w:val="both"/>
        <w:rPr>
          <w:rFonts w:ascii="Times New Roman" w:hAnsi="Times New Roman" w:cs="Times New Roman"/>
        </w:rPr>
      </w:pPr>
      <w:r>
        <w:rPr>
          <w:rFonts w:ascii="Times New Roman" w:hAnsi="Times New Roman" w:cs="Times New Roman"/>
          <w:b/>
          <w:bCs/>
        </w:rPr>
        <w:t xml:space="preserve">Component B, </w:t>
      </w:r>
      <w:r>
        <w:rPr>
          <w:rFonts w:ascii="Times New Roman" w:hAnsi="Times New Roman" w:cs="Times New Roman"/>
        </w:rPr>
        <w:t xml:space="preserve">implemented by MCS, has the aim to enhance capacity and improve the functionality of the Border Crossing Points (BCPs) between Republic of Moldova and Romania. The works include a range of interventions at both the infrastructure level of the BCPs, coupled with equipment acquisition needed to enhance their functionality. These interventions are designed to increase the capacity, interoperability, and efficiency of the border crossing services in accordance with the existing regulations. Investments made under this Component will be matched by an EU grant facility - Connecting Europe Facility (CEF). </w:t>
      </w:r>
    </w:p>
    <w:p w14:paraId="46F13DA8">
      <w:pPr>
        <w:spacing w:line="276" w:lineRule="auto"/>
        <w:jc w:val="both"/>
        <w:rPr>
          <w:rFonts w:ascii="Times New Roman" w:hAnsi="Times New Roman" w:cs="Times New Roman"/>
        </w:rPr>
      </w:pPr>
      <w:r>
        <w:rPr>
          <w:rFonts w:ascii="Times New Roman" w:hAnsi="Times New Roman" w:cs="Times New Roman"/>
        </w:rPr>
        <w:t>Investments on the Moldova side of the border will be complemented by simultaneous modernization investments on the Romania side. These investments on the Romania side will be implemented by the Romanian Government and co-financed by the CEF.</w:t>
      </w:r>
    </w:p>
    <w:p w14:paraId="0609BED3">
      <w:pPr>
        <w:spacing w:line="276" w:lineRule="auto"/>
        <w:jc w:val="both"/>
        <w:rPr>
          <w:rFonts w:ascii="Times New Roman" w:hAnsi="Times New Roman" w:cs="Times New Roman"/>
        </w:rPr>
      </w:pPr>
    </w:p>
    <w:p w14:paraId="2AB9AD0D">
      <w:pPr>
        <w:spacing w:line="276" w:lineRule="auto"/>
        <w:jc w:val="both"/>
        <w:rPr>
          <w:rFonts w:ascii="Times New Roman" w:hAnsi="Times New Roman" w:cs="Times New Roman"/>
          <w:b/>
          <w:bCs/>
        </w:rPr>
      </w:pPr>
      <w:r>
        <w:rPr>
          <w:rFonts w:ascii="Times New Roman" w:hAnsi="Times New Roman" w:cs="Times New Roman"/>
          <w:b/>
          <w:bCs/>
        </w:rPr>
        <w:t>Institutional arrangements</w:t>
      </w:r>
    </w:p>
    <w:p w14:paraId="63D8F898">
      <w:pPr>
        <w:spacing w:line="276" w:lineRule="auto"/>
        <w:jc w:val="both"/>
        <w:rPr>
          <w:rFonts w:ascii="Times New Roman" w:hAnsi="Times New Roman" w:cs="Times New Roman"/>
          <w:lang w:val="en-GB"/>
        </w:rPr>
      </w:pPr>
      <w:r>
        <w:rPr>
          <w:rFonts w:ascii="Times New Roman" w:hAnsi="Times New Roman" w:cs="Times New Roman"/>
          <w:lang w:val="en-GB"/>
        </w:rPr>
        <w:t>The implementation of Component B of the Moldova Rural Connectivity Project, aimed at facilitating trade and expanding Solidarity Lanes, involves a robust institutional framework to ensure efficient project execution and compliance with national and international standards.</w:t>
      </w:r>
    </w:p>
    <w:p w14:paraId="15C5DD07">
      <w:pPr>
        <w:spacing w:line="276" w:lineRule="auto"/>
        <w:jc w:val="both"/>
        <w:rPr>
          <w:rFonts w:ascii="Times New Roman" w:hAnsi="Times New Roman" w:cs="Times New Roman"/>
          <w:lang w:val="en-GB"/>
        </w:rPr>
      </w:pPr>
      <w:r>
        <w:rPr>
          <w:rFonts w:ascii="Times New Roman" w:hAnsi="Times New Roman" w:cs="Times New Roman"/>
          <w:b/>
          <w:bCs/>
          <w:lang w:val="en-GB"/>
        </w:rPr>
        <w:t xml:space="preserve">Main Beneficiary. </w:t>
      </w:r>
      <w:r>
        <w:rPr>
          <w:rFonts w:ascii="Times New Roman" w:hAnsi="Times New Roman" w:cs="Times New Roman"/>
          <w:lang w:val="en-GB"/>
        </w:rPr>
        <w:t xml:space="preserve">The primary beneficiary of the Project is the </w:t>
      </w:r>
      <w:r>
        <w:rPr>
          <w:rFonts w:ascii="Times New Roman" w:hAnsi="Times New Roman" w:cs="Times New Roman"/>
          <w:b/>
          <w:bCs/>
          <w:lang w:val="en-GB"/>
        </w:rPr>
        <w:t>Moldova Customs Service (MCS)</w:t>
      </w:r>
      <w:r>
        <w:rPr>
          <w:rFonts w:ascii="Times New Roman" w:hAnsi="Times New Roman" w:cs="Times New Roman"/>
          <w:lang w:val="en-GB"/>
        </w:rPr>
        <w:t xml:space="preserve">. As the key agency responsible for managing and controlling cross-border trade, MCS will directly benefit from the modernization and expansion of the Border Crossing Points (BCPs) at Leuseni, Ungheni, and Giurgiulesti. The improved facilities, upgraded equipment, and optimized traffic management systems will enhance MCS’s operational capacity, enabling more efficient and secure customs procedures and contributing to the facilitation of trade in the region.  </w:t>
      </w:r>
    </w:p>
    <w:p w14:paraId="613610E6">
      <w:pPr>
        <w:spacing w:line="276" w:lineRule="auto"/>
        <w:jc w:val="both"/>
        <w:rPr>
          <w:rFonts w:ascii="Times New Roman" w:hAnsi="Times New Roman" w:cs="Times New Roman"/>
          <w:lang w:val="en-GB"/>
        </w:rPr>
      </w:pPr>
      <w:r>
        <w:rPr>
          <w:rFonts w:ascii="Times New Roman" w:hAnsi="Times New Roman" w:cs="Times New Roman"/>
        </w:rPr>
        <w:t>The main beneficiaries of the extension and modernization of the Giurgiulesti Customs Control Platform are the Moldova Customs Service (MCS), freight transport operators, local communities, and regional supply chains. The MCS will gain enhanced control capacity and improved infrastructure to efficiently manage customs procedures, reducing operational bottlenecks. Freight transport companies and truck drivers will experience decreased waiting times, safer conditions, and better amenities, contributing to smoother transit and logistics processes. Local residents in Giurgiulesti will benefit from reduced traffic congestion and pollution, improving safety and living conditions. Overall, the project will strengthen regional trade flows by ensuring more efficient and predictable cross-border transport.</w:t>
      </w:r>
    </w:p>
    <w:p w14:paraId="62BD080B">
      <w:pPr>
        <w:spacing w:line="276" w:lineRule="auto"/>
        <w:jc w:val="both"/>
        <w:rPr>
          <w:rFonts w:ascii="Times New Roman" w:hAnsi="Times New Roman" w:cs="Times New Roman"/>
          <w:b/>
          <w:bCs/>
          <w:lang w:val="en-GB"/>
        </w:rPr>
      </w:pPr>
      <w:r>
        <w:rPr>
          <w:rFonts w:ascii="Times New Roman" w:hAnsi="Times New Roman" w:cs="Times New Roman"/>
          <w:b/>
          <w:bCs/>
          <w:lang w:val="en-GB"/>
        </w:rPr>
        <w:t xml:space="preserve">Project Implementation Unit (PIU). </w:t>
      </w:r>
      <w:r>
        <w:rPr>
          <w:rFonts w:ascii="Times New Roman" w:hAnsi="Times New Roman" w:cs="Times New Roman"/>
          <w:lang w:val="en-GB"/>
        </w:rPr>
        <w:t xml:space="preserve">For the effective management and implementation of the Project, a </w:t>
      </w:r>
      <w:r>
        <w:rPr>
          <w:rFonts w:ascii="Times New Roman" w:hAnsi="Times New Roman" w:cs="Times New Roman"/>
          <w:b/>
          <w:bCs/>
          <w:lang w:val="en-GB"/>
        </w:rPr>
        <w:t>dedicated Project Implementation Unit (PIU)</w:t>
      </w:r>
      <w:r>
        <w:rPr>
          <w:rFonts w:ascii="Times New Roman" w:hAnsi="Times New Roman" w:cs="Times New Roman"/>
          <w:lang w:val="en-GB"/>
        </w:rPr>
        <w:t xml:space="preserve"> has been established within the MCS. The PIU is responsible for day-to-day project management activities, including procurement, financial management, environmental and social safeguards compliance, and monitoring and evaluation. It also serves as the central point of coordination between the MCS, the State Road Administration (SRA), the World Bank, and other relevant stakeholders. The PIU ensures that project activities are implemented in accordance with the Project’s Environmental and Social Commitment Plan, national regulations, and the World Bank’s Environmental and Social Standards (ESS).</w:t>
      </w:r>
    </w:p>
    <w:p w14:paraId="08EA782C">
      <w:pPr>
        <w:spacing w:line="276" w:lineRule="auto"/>
        <w:jc w:val="both"/>
        <w:rPr>
          <w:rFonts w:ascii="Times New Roman" w:hAnsi="Times New Roman" w:cs="Times New Roman"/>
          <w:lang w:val="en-GB"/>
        </w:rPr>
      </w:pPr>
      <w:r>
        <w:rPr>
          <w:rFonts w:ascii="Times New Roman" w:hAnsi="Times New Roman" w:cs="Times New Roman"/>
          <w:lang w:val="en-GB"/>
        </w:rPr>
        <w:t>The PIU is supported by a team of professionals with expertise in customs operations, engineering, environmental and social management, and financial administration. It will also work in close collaboration with the High-level working group and technical group established between the Government of Moldova and Romania to coordinate border modernization investments.</w:t>
      </w:r>
    </w:p>
    <w:p w14:paraId="2610F239">
      <w:pPr>
        <w:spacing w:line="276" w:lineRule="auto"/>
        <w:jc w:val="both"/>
        <w:rPr>
          <w:rFonts w:ascii="Times New Roman" w:hAnsi="Times New Roman" w:cs="Times New Roman"/>
          <w:lang w:val="en-GB"/>
        </w:rPr>
      </w:pPr>
      <w:r>
        <w:rPr>
          <w:rFonts w:ascii="Times New Roman" w:hAnsi="Times New Roman" w:cs="Times New Roman"/>
          <w:lang w:val="en-GB"/>
        </w:rPr>
        <w:t>This institutional arrangement ensures that the Moldova Customs Service and its partners can effectively deliver the improvements planned under Component B of the Project, contributing to enhanced trade facilitation, economic development, and regional integration.</w:t>
      </w:r>
    </w:p>
    <w:p w14:paraId="78D45B9E">
      <w:pPr>
        <w:spacing w:line="276" w:lineRule="auto"/>
        <w:jc w:val="both"/>
        <w:rPr>
          <w:rFonts w:ascii="Times New Roman" w:hAnsi="Times New Roman" w:cs="Times New Roman"/>
        </w:rPr>
      </w:pPr>
    </w:p>
    <w:p w14:paraId="20D21550">
      <w:pPr>
        <w:spacing w:line="276" w:lineRule="auto"/>
        <w:jc w:val="both"/>
        <w:rPr>
          <w:rFonts w:ascii="Times New Roman" w:hAnsi="Times New Roman" w:cs="Times New Roman"/>
        </w:rPr>
      </w:pPr>
    </w:p>
    <w:p w14:paraId="3BC9222D">
      <w:pPr>
        <w:pStyle w:val="3"/>
        <w:spacing w:before="100" w:beforeAutospacing="1" w:after="100" w:afterAutospacing="1" w:line="257" w:lineRule="auto"/>
        <w:rPr>
          <w:rFonts w:ascii="Times New Roman" w:hAnsi="Times New Roman" w:cs="Times New Roman"/>
          <w:b/>
          <w:bCs/>
          <w:color w:val="auto"/>
          <w:sz w:val="22"/>
          <w:szCs w:val="22"/>
        </w:rPr>
      </w:pPr>
      <w:r>
        <w:rPr>
          <w:rFonts w:ascii="Times New Roman" w:hAnsi="Times New Roman" w:cs="Times New Roman"/>
          <w:b/>
          <w:bCs/>
          <w:color w:val="auto"/>
          <w:sz w:val="22"/>
          <w:szCs w:val="22"/>
        </w:rPr>
        <w:t>Compliance obligations</w:t>
      </w:r>
    </w:p>
    <w:p w14:paraId="7DC3492A">
      <w:pPr>
        <w:spacing w:line="276" w:lineRule="auto"/>
        <w:jc w:val="both"/>
        <w:rPr>
          <w:rFonts w:ascii="Times New Roman" w:hAnsi="Times New Roman" w:cs="Times New Roman"/>
          <w:lang w:val="en-GB"/>
        </w:rPr>
      </w:pPr>
      <w:r>
        <w:rPr>
          <w:rFonts w:ascii="Times New Roman" w:hAnsi="Times New Roman" w:cs="Times New Roman"/>
          <w:lang w:val="en-GB"/>
        </w:rPr>
        <w:t>The MCS, as the implementing agency, has the obligation to ensure that all activities at the Giurgiulesti Customs Control Platform comply with national legal frameworks, including environmental protection, waste management, and occupational health and safety regulations. The MCS must also ensure that the project adheres to the Environmental and Social Standards (ESS) of the World Bank, as set out in the Project’s Environmental and Social Commitment Plan (ESCP). These obligations include securing and maintaining relevant environmental permits, ensuring stakeholder engagement and grievance mechanisms, and monitoring compliance throughout implementation. The contractor, responsible for the physical works, must comply with all relevant national laws and environmental and social safeguards. This includes following good construction practices, implementing mitigation measures identified in site-specific ESMPs, ensuring the safety of workers and local communities, and minimizing environmental impacts such as dust, noise, and waste during construction. Both MCS and the contractor are jointly responsible for ensuring that the platform’s expansion is carried out in a manner that promotes environmental sustainability, community health and safety, and compliance with applicable standards and procedures.</w:t>
      </w:r>
    </w:p>
    <w:p w14:paraId="2E0F2C8D">
      <w:pPr>
        <w:spacing w:line="276" w:lineRule="auto"/>
        <w:jc w:val="both"/>
        <w:rPr>
          <w:rFonts w:ascii="Times New Roman" w:hAnsi="Times New Roman" w:cs="Times New Roman"/>
          <w:lang w:val="en-GB"/>
        </w:rPr>
      </w:pPr>
    </w:p>
    <w:p w14:paraId="2E30ECA5">
      <w:pPr>
        <w:pStyle w:val="4"/>
        <w:spacing w:before="100" w:beforeAutospacing="1" w:after="100" w:afterAutospacing="1" w:line="257" w:lineRule="auto"/>
        <w:rPr>
          <w:rFonts w:ascii="Times New Roman" w:hAnsi="Times New Roman" w:cs="Times New Roman"/>
          <w:b/>
          <w:bCs/>
          <w:color w:val="auto"/>
          <w:sz w:val="22"/>
          <w:szCs w:val="22"/>
        </w:rPr>
      </w:pPr>
      <w:r>
        <w:rPr>
          <w:rFonts w:ascii="Times New Roman" w:hAnsi="Times New Roman" w:cs="Times New Roman"/>
          <w:b/>
          <w:bCs/>
          <w:color w:val="auto"/>
          <w:sz w:val="22"/>
          <w:szCs w:val="22"/>
        </w:rPr>
        <w:t>Compliance with the Environmental and Social Commitment Plan (ESCP)</w:t>
      </w:r>
    </w:p>
    <w:p w14:paraId="25F336AE">
      <w:pPr>
        <w:spacing w:after="240" w:line="276" w:lineRule="auto"/>
        <w:jc w:val="both"/>
        <w:rPr>
          <w:rStyle w:val="14"/>
          <w:rFonts w:ascii="Times New Roman" w:hAnsi="Times New Roman"/>
          <w:sz w:val="22"/>
          <w:szCs w:val="22"/>
        </w:rPr>
      </w:pPr>
      <w:r>
        <w:rPr>
          <w:rFonts w:ascii="Times New Roman" w:hAnsi="Times New Roman"/>
        </w:rPr>
        <w:t>The Environmental and Social Commitment Plan (ESCP) sets out the Borrower’s material measures and actions, specific documents or plans, as well as the timing for each of these. The Borrower</w:t>
      </w:r>
      <w:r>
        <w:rPr>
          <w:rFonts w:ascii="Times New Roman" w:hAnsi="Times New Roman"/>
          <w:i/>
        </w:rPr>
        <w:t xml:space="preserve"> </w:t>
      </w:r>
      <w:r>
        <w:rPr>
          <w:rFonts w:ascii="Times New Roman" w:hAnsi="Times New Roman"/>
        </w:rPr>
        <w:t>will also comply with the provisions of any other E&amp;S documents required under the ESF and referred to in the ESCP, such as Environmental and Social Management Plans (ESMP) Checklist, and Stakeholder Engagement Plans (SEP), Labor Management Procedures (LMP) and the timelines specified in those E&amp;S documents.</w:t>
      </w:r>
    </w:p>
    <w:p w14:paraId="7E8588A6">
      <w:pPr>
        <w:pStyle w:val="4"/>
        <w:spacing w:before="100" w:beforeAutospacing="1" w:after="100" w:afterAutospacing="1" w:line="257" w:lineRule="auto"/>
        <w:rPr>
          <w:rFonts w:ascii="Times New Roman" w:hAnsi="Times New Roman" w:cs="Times New Roman"/>
          <w:color w:val="auto"/>
          <w:sz w:val="22"/>
          <w:szCs w:val="22"/>
          <w:u w:val="single"/>
        </w:rPr>
      </w:pPr>
      <w:r>
        <w:rPr>
          <w:rFonts w:ascii="Times New Roman" w:hAnsi="Times New Roman" w:cs="Times New Roman"/>
          <w:b/>
          <w:bCs/>
          <w:color w:val="auto"/>
          <w:sz w:val="22"/>
          <w:szCs w:val="22"/>
        </w:rPr>
        <w:t xml:space="preserve">Compliance with the Decision issued by the Environmental Agency </w:t>
      </w:r>
    </w:p>
    <w:p w14:paraId="0519B795">
      <w:pPr>
        <w:spacing w:line="276" w:lineRule="auto"/>
        <w:jc w:val="both"/>
        <w:rPr>
          <w:rFonts w:ascii="Times New Roman" w:hAnsi="Times New Roman" w:eastAsia="Times New Roman" w:cs="Times New Roman"/>
          <w:lang w:val="en-GB" w:eastAsia="ru-RU"/>
        </w:rPr>
      </w:pPr>
      <w:r>
        <w:rPr>
          <w:rFonts w:ascii="Times New Roman" w:hAnsi="Times New Roman" w:eastAsia="Times New Roman" w:cs="Times New Roman"/>
          <w:lang w:val="en-GB" w:eastAsia="ru-RU"/>
        </w:rPr>
        <w:t xml:space="preserve">The Giurgiulesti Customs Control Platform expansion project has received the </w:t>
      </w:r>
      <w:r>
        <w:rPr>
          <w:rFonts w:ascii="Times New Roman" w:hAnsi="Times New Roman" w:eastAsia="Times New Roman" w:cs="Times New Roman"/>
          <w:b/>
          <w:bCs/>
          <w:lang w:val="en-GB" w:eastAsia="ru-RU"/>
        </w:rPr>
        <w:t>Environmental Agreement no. 0191/447/2024 of 15.08.2024</w:t>
      </w:r>
      <w:r>
        <w:rPr>
          <w:rFonts w:ascii="Times New Roman" w:hAnsi="Times New Roman" w:eastAsia="Times New Roman" w:cs="Times New Roman"/>
          <w:lang w:val="en-GB" w:eastAsia="ru-RU"/>
        </w:rPr>
        <w:t>, issued by the Environmental Agency of the Republic of Moldova. This decision establishes the legal and environmental conditions that must be met during the construction and operation of the platform. The Moldova Customs Service (MCS), as the implementing agency, and the contractor, as the executor of the physical works, are obligated to strictly adhere to the provisions of this Decision.</w:t>
      </w:r>
    </w:p>
    <w:p w14:paraId="46A48C7F">
      <w:pPr>
        <w:spacing w:line="276" w:lineRule="auto"/>
        <w:jc w:val="both"/>
        <w:rPr>
          <w:rFonts w:ascii="Times New Roman" w:hAnsi="Times New Roman" w:eastAsia="Times New Roman" w:cs="Times New Roman"/>
          <w:lang w:val="en-GB" w:eastAsia="ru-RU"/>
        </w:rPr>
      </w:pPr>
      <w:r>
        <w:rPr>
          <w:rFonts w:ascii="Times New Roman" w:hAnsi="Times New Roman" w:eastAsia="Times New Roman" w:cs="Times New Roman"/>
          <w:lang w:val="en-GB" w:eastAsia="ru-RU"/>
        </w:rPr>
        <w:t>The Environmental Agency’s Decision outlines specific measures to mitigate environmental and social impacts, including the implementation of a biological wastewater treatment plant (WWTP) with a capacity of 15m³/24h, equipped with grease and hydrocarbon separators, as well as stormwater drainage infrastructure to prevent accidental oil and fuel spills. Furthermore, the Decision mandates compliance with national standards for noise and dust emissions, proper waste collection and disposal procedures, and the restoration of affected areas post-construction.</w:t>
      </w:r>
    </w:p>
    <w:p w14:paraId="31AEB4E9">
      <w:pPr>
        <w:spacing w:line="276" w:lineRule="auto"/>
        <w:jc w:val="both"/>
        <w:rPr>
          <w:rFonts w:ascii="Times New Roman" w:hAnsi="Times New Roman" w:eastAsia="Times New Roman" w:cs="Times New Roman"/>
          <w:lang w:val="en-GB" w:eastAsia="ru-RU"/>
        </w:rPr>
      </w:pPr>
      <w:r>
        <w:rPr>
          <w:rFonts w:ascii="Times New Roman" w:hAnsi="Times New Roman" w:eastAsia="Times New Roman" w:cs="Times New Roman"/>
          <w:lang w:val="en-GB" w:eastAsia="ru-RU"/>
        </w:rPr>
        <w:t>The MCS and the contractor are required to regularly monitor and report on compliance with these measures. The Project Implementation Unit (PIU) within the MCS will ensure that the contractor implements these obligations effectively and will liaise with the Environmental Agency for periodic inspections and reviews. These actions are essential to ensure the project’s alignment with national environmental standards and to minimize the potential impacts on local communities and natural resources.</w:t>
      </w:r>
    </w:p>
    <w:p w14:paraId="4CA02871">
      <w:pPr>
        <w:spacing w:line="276" w:lineRule="auto"/>
        <w:jc w:val="both"/>
        <w:rPr>
          <w:rFonts w:ascii="Times New Roman" w:hAnsi="Times New Roman" w:cs="Times New Roman"/>
        </w:rPr>
      </w:pPr>
    </w:p>
    <w:p w14:paraId="3D0E553B">
      <w:pPr>
        <w:rPr>
          <w:rFonts w:ascii="Times New Roman" w:hAnsi="Times New Roman" w:cs="Times New Roman"/>
        </w:rPr>
      </w:pPr>
      <w:r>
        <w:rPr>
          <w:rFonts w:ascii="Times New Roman" w:hAnsi="Times New Roman" w:cs="Times New Roman"/>
        </w:rPr>
        <w:br w:type="page"/>
      </w:r>
    </w:p>
    <w:p w14:paraId="33B6C71B">
      <w:pPr>
        <w:spacing w:line="276" w:lineRule="auto"/>
        <w:jc w:val="both"/>
        <w:rPr>
          <w:rFonts w:ascii="Times New Roman" w:hAnsi="Times New Roman" w:cs="Times New Roman"/>
        </w:rPr>
      </w:pPr>
    </w:p>
    <w:p w14:paraId="42414D46">
      <w:pPr>
        <w:spacing w:line="276" w:lineRule="auto"/>
        <w:jc w:val="both"/>
        <w:rPr>
          <w:rFonts w:ascii="Times New Roman" w:hAnsi="Times New Roman" w:cs="Times New Roman"/>
          <w:b/>
          <w:bCs/>
        </w:rPr>
      </w:pPr>
      <w:r>
        <w:rPr>
          <w:rFonts w:ascii="Times New Roman" w:hAnsi="Times New Roman" w:cs="Times New Roman"/>
          <w:b/>
          <w:bCs/>
        </w:rPr>
        <w:t>PROJECT PRESENTATION</w:t>
      </w:r>
    </w:p>
    <w:p w14:paraId="77C6E691">
      <w:pPr>
        <w:spacing w:line="276" w:lineRule="auto"/>
        <w:jc w:val="both"/>
        <w:rPr>
          <w:rFonts w:ascii="Times New Roman" w:hAnsi="Times New Roman" w:cs="Times New Roman"/>
        </w:rPr>
      </w:pPr>
    </w:p>
    <w:p w14:paraId="628E5147">
      <w:pPr>
        <w:spacing w:line="276" w:lineRule="auto"/>
        <w:jc w:val="center"/>
        <w:rPr>
          <w:rFonts w:ascii="Times New Roman" w:hAnsi="Times New Roman" w:cs="Times New Roman"/>
        </w:rPr>
      </w:pPr>
      <w:r>
        <w:rPr>
          <w:rFonts w:ascii="Times New Roman" w:hAnsi="Times New Roman" w:cs="Times New Roman"/>
          <w:highlight w:val="yellow"/>
        </w:rPr>
        <w:drawing>
          <wp:inline distT="0" distB="0" distL="0" distR="0">
            <wp:extent cx="2379980" cy="3539490"/>
            <wp:effectExtent l="0" t="0" r="1270" b="3810"/>
            <wp:docPr id="1485690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90216" name="Picture 1"/>
                    <pic:cNvPicPr>
                      <a:picLocks noChangeAspect="1" noChangeArrowheads="1"/>
                    </pic:cNvPicPr>
                  </pic:nvPicPr>
                  <pic:blipFill>
                    <a:blip r:embed="rId9" cstate="email"/>
                    <a:srcRect/>
                    <a:stretch>
                      <a:fillRect/>
                    </a:stretch>
                  </pic:blipFill>
                  <pic:spPr>
                    <a:xfrm>
                      <a:off x="0" y="0"/>
                      <a:ext cx="2402563" cy="3573178"/>
                    </a:xfrm>
                    <a:prstGeom prst="rect">
                      <a:avLst/>
                    </a:prstGeom>
                    <a:noFill/>
                  </pic:spPr>
                </pic:pic>
              </a:graphicData>
            </a:graphic>
          </wp:inline>
        </w:drawing>
      </w:r>
    </w:p>
    <w:p w14:paraId="2EA916CF">
      <w:pPr>
        <w:spacing w:line="276" w:lineRule="auto"/>
        <w:jc w:val="both"/>
        <w:rPr>
          <w:rFonts w:ascii="Times New Roman" w:hAnsi="Times New Roman" w:cs="Times New Roman"/>
          <w:lang w:val="en-GB"/>
        </w:rPr>
      </w:pPr>
      <w:r>
        <w:rPr>
          <w:rFonts w:ascii="Times New Roman" w:hAnsi="Times New Roman" w:cs="Times New Roman"/>
          <w:b/>
          <w:bCs/>
          <w:lang w:val="en-GB"/>
        </w:rPr>
        <w:t xml:space="preserve">Location and Site Characteristics: </w:t>
      </w:r>
      <w:r>
        <w:rPr>
          <w:rFonts w:ascii="Times New Roman" w:hAnsi="Times New Roman" w:cs="Times New Roman"/>
          <w:lang w:val="en-GB"/>
        </w:rPr>
        <w:t xml:space="preserve">The project is located in the southern part of the Republic of Moldova, near </w:t>
      </w:r>
      <w:r>
        <w:rPr>
          <w:rFonts w:ascii="Times New Roman" w:hAnsi="Times New Roman" w:cs="Times New Roman"/>
          <w:b/>
          <w:bCs/>
          <w:lang w:val="en-GB"/>
        </w:rPr>
        <w:t>Giurgiulesti village</w:t>
      </w:r>
      <w:r>
        <w:rPr>
          <w:rFonts w:ascii="Times New Roman" w:hAnsi="Times New Roman" w:cs="Times New Roman"/>
          <w:lang w:val="en-GB"/>
        </w:rPr>
        <w:t xml:space="preserve">, within </w:t>
      </w:r>
      <w:r>
        <w:rPr>
          <w:rFonts w:ascii="Times New Roman" w:hAnsi="Times New Roman" w:cs="Times New Roman"/>
          <w:b/>
          <w:bCs/>
          <w:lang w:val="en-GB"/>
        </w:rPr>
        <w:t>Cahul district</w:t>
      </w:r>
      <w:r>
        <w:rPr>
          <w:rFonts w:ascii="Times New Roman" w:hAnsi="Times New Roman" w:cs="Times New Roman"/>
          <w:lang w:val="en-GB"/>
        </w:rPr>
        <w:t xml:space="preserve">, along </w:t>
      </w:r>
      <w:r>
        <w:rPr>
          <w:rFonts w:ascii="Times New Roman" w:hAnsi="Times New Roman" w:cs="Times New Roman"/>
          <w:b/>
          <w:bCs/>
          <w:lang w:val="en-GB"/>
        </w:rPr>
        <w:t>National Road R34</w:t>
      </w:r>
      <w:r>
        <w:rPr>
          <w:rFonts w:ascii="Times New Roman" w:hAnsi="Times New Roman" w:cs="Times New Roman"/>
          <w:lang w:val="en-GB"/>
        </w:rPr>
        <w:t xml:space="preserve">. The site is situated approximately </w:t>
      </w:r>
      <w:r>
        <w:rPr>
          <w:rFonts w:ascii="Times New Roman" w:hAnsi="Times New Roman" w:cs="Times New Roman"/>
          <w:b/>
          <w:bCs/>
          <w:lang w:val="en-GB"/>
        </w:rPr>
        <w:t>470 meters from the Prut River</w:t>
      </w:r>
      <w:r>
        <w:rPr>
          <w:rFonts w:ascii="Times New Roman" w:hAnsi="Times New Roman" w:cs="Times New Roman"/>
          <w:lang w:val="en-GB"/>
        </w:rPr>
        <w:t xml:space="preserve"> and is surrounded by agricultural land, pasture, and forested parcels. There are no sensitive or protected environmental areas in the immediate vicinity. The nearest residential buildings in Giurgiulesti village are at a distance of </w:t>
      </w:r>
      <w:r>
        <w:rPr>
          <w:rFonts w:ascii="Times New Roman" w:hAnsi="Times New Roman" w:cs="Times New Roman"/>
          <w:b/>
          <w:bCs/>
          <w:lang w:val="en-GB"/>
        </w:rPr>
        <w:t>780 meters</w:t>
      </w:r>
      <w:r>
        <w:rPr>
          <w:rFonts w:ascii="Times New Roman" w:hAnsi="Times New Roman" w:cs="Times New Roman"/>
          <w:lang w:val="en-GB"/>
        </w:rPr>
        <w:t xml:space="preserve"> and will not be directly impacted. The platform area benefits from a natural hill that acts as a relief barrier to the west.</w:t>
      </w:r>
    </w:p>
    <w:p w14:paraId="30A2F6AF">
      <w:pPr>
        <w:spacing w:line="276" w:lineRule="auto"/>
        <w:jc w:val="both"/>
        <w:rPr>
          <w:rFonts w:ascii="Times New Roman" w:hAnsi="Times New Roman" w:cs="Times New Roman"/>
          <w:lang w:val="en-GB"/>
        </w:rPr>
      </w:pPr>
    </w:p>
    <w:p w14:paraId="27DCDEB0">
      <w:pPr>
        <w:spacing w:line="276" w:lineRule="auto"/>
        <w:jc w:val="both"/>
        <w:rPr>
          <w:rFonts w:ascii="Times New Roman" w:hAnsi="Times New Roman" w:cs="Times New Roman"/>
          <w:lang w:val="en-GB"/>
        </w:rPr>
      </w:pPr>
      <w:r>
        <w:rPr>
          <w:rFonts w:ascii="Times New Roman" w:hAnsi="Times New Roman" w:cs="Times New Roman"/>
          <w:b/>
          <w:bCs/>
          <w:lang w:val="en-GB"/>
        </w:rPr>
        <w:t>Ownership and Initial Conditions</w:t>
      </w:r>
      <w:r>
        <w:rPr>
          <w:rFonts w:ascii="Times New Roman" w:hAnsi="Times New Roman" w:cs="Times New Roman"/>
          <w:lang w:val="en-GB"/>
        </w:rPr>
        <w:t xml:space="preserve">: The existing customs control platform has a total area of approximately </w:t>
      </w:r>
      <w:r>
        <w:rPr>
          <w:rFonts w:ascii="Times New Roman" w:hAnsi="Times New Roman" w:cs="Times New Roman"/>
          <w:b/>
          <w:bCs/>
          <w:lang w:val="en-GB"/>
        </w:rPr>
        <w:t>1.2 hectares</w:t>
      </w:r>
      <w:r>
        <w:rPr>
          <w:rFonts w:ascii="Times New Roman" w:hAnsi="Times New Roman" w:cs="Times New Roman"/>
          <w:lang w:val="en-GB"/>
        </w:rPr>
        <w:t xml:space="preserve">. Half of the platform is covered with a concrete surface, while the other half is fenced and equipped with lighting and an access way. The land was transferred in </w:t>
      </w:r>
      <w:r>
        <w:rPr>
          <w:rFonts w:ascii="Times New Roman" w:hAnsi="Times New Roman" w:cs="Times New Roman"/>
          <w:b/>
          <w:bCs/>
          <w:lang w:val="en-GB"/>
        </w:rPr>
        <w:t>2018</w:t>
      </w:r>
      <w:r>
        <w:rPr>
          <w:rFonts w:ascii="Times New Roman" w:hAnsi="Times New Roman" w:cs="Times New Roman"/>
          <w:lang w:val="en-GB"/>
        </w:rPr>
        <w:t xml:space="preserve"> from the Giurgiulesti Local Public Administration to state ownership, managed by the Ministry of Finance and the Moldova Customs Service (MCS).</w:t>
      </w:r>
    </w:p>
    <w:p w14:paraId="5F57D775">
      <w:pPr>
        <w:spacing w:line="276" w:lineRule="auto"/>
        <w:jc w:val="both"/>
        <w:rPr>
          <w:rFonts w:ascii="Times New Roman" w:hAnsi="Times New Roman" w:cs="Times New Roman"/>
          <w:b/>
          <w:bCs/>
          <w:lang w:val="en-GB"/>
        </w:rPr>
      </w:pPr>
      <w:r>
        <w:rPr>
          <w:rFonts w:ascii="Times New Roman" w:hAnsi="Times New Roman" w:cs="Times New Roman"/>
          <w:b/>
          <w:bCs/>
          <w:lang w:val="en-GB"/>
        </w:rPr>
        <w:t xml:space="preserve">Context and Project Justification: </w:t>
      </w:r>
      <w:r>
        <w:rPr>
          <w:rFonts w:ascii="Times New Roman" w:hAnsi="Times New Roman" w:cs="Times New Roman"/>
          <w:lang w:val="en-GB"/>
        </w:rPr>
        <w:t>The need for this platform arose due to multiple complaints from the local population about heavy trucks parked along the main road (</w:t>
      </w:r>
      <w:r>
        <w:rPr>
          <w:rFonts w:ascii="Times New Roman" w:hAnsi="Times New Roman" w:cs="Times New Roman"/>
          <w:b/>
          <w:bCs/>
          <w:lang w:val="en-GB"/>
        </w:rPr>
        <w:t>R34</w:t>
      </w:r>
      <w:r>
        <w:rPr>
          <w:rFonts w:ascii="Times New Roman" w:hAnsi="Times New Roman" w:cs="Times New Roman"/>
          <w:lang w:val="en-GB"/>
        </w:rPr>
        <w:t xml:space="preserve">) passing through the village. </w:t>
      </w:r>
      <w:r>
        <w:rPr>
          <w:rFonts w:ascii="Times New Roman" w:hAnsi="Times New Roman" w:cs="Times New Roman"/>
          <w:b/>
          <w:bCs/>
          <w:lang w:val="en-GB"/>
        </w:rPr>
        <w:t>The expansion and modernization of the platform became essential to address growing freight transit demand, especially due to the increased traffic linked to the situation in Ukraine.</w:t>
      </w:r>
    </w:p>
    <w:p w14:paraId="47F19552">
      <w:pPr>
        <w:spacing w:line="276" w:lineRule="auto"/>
        <w:jc w:val="both"/>
        <w:rPr>
          <w:rFonts w:ascii="Times New Roman" w:hAnsi="Times New Roman" w:cs="Times New Roman"/>
          <w:lang w:val="en-GB"/>
        </w:rPr>
      </w:pPr>
      <w:r>
        <w:rPr>
          <w:rFonts w:ascii="Times New Roman" w:hAnsi="Times New Roman" w:cs="Times New Roman"/>
          <w:b/>
          <w:bCs/>
          <w:lang w:val="en-GB"/>
        </w:rPr>
        <w:t xml:space="preserve">Intended Project Interventions: </w:t>
      </w:r>
      <w:r>
        <w:rPr>
          <w:rFonts w:ascii="Times New Roman" w:hAnsi="Times New Roman" w:cs="Times New Roman"/>
          <w:lang w:val="en-GB"/>
        </w:rPr>
        <w:t xml:space="preserve">To fully utilize the allocated area of </w:t>
      </w:r>
      <w:r>
        <w:rPr>
          <w:rFonts w:ascii="Times New Roman" w:hAnsi="Times New Roman" w:cs="Times New Roman"/>
          <w:b/>
          <w:bCs/>
          <w:lang w:val="en-GB"/>
        </w:rPr>
        <w:t>approximately 1.27 hectares</w:t>
      </w:r>
      <w:r>
        <w:rPr>
          <w:rFonts w:ascii="Times New Roman" w:hAnsi="Times New Roman" w:cs="Times New Roman"/>
          <w:lang w:val="en-GB"/>
        </w:rPr>
        <w:t xml:space="preserve"> and improve platform operations, the project will implement the following works:</w:t>
      </w:r>
    </w:p>
    <w:p w14:paraId="19FA4142">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Concreting of an additional 0.65 hectares of the platform area.</w:t>
      </w:r>
    </w:p>
    <w:p w14:paraId="30A64BFB">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Purchase and installation of two containers equipped with toilets and showers for drivers.</w:t>
      </w:r>
    </w:p>
    <w:p w14:paraId="76BDAF33">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Reconstruction of the toilet station to integrate the new sanitary containers.</w:t>
      </w:r>
    </w:p>
    <w:p w14:paraId="65F7419E">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Procurement of a truck scale for vehicle weighing.</w:t>
      </w:r>
    </w:p>
    <w:p w14:paraId="599D419C">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Construction of an artesian well to ensure a reliable water supply.</w:t>
      </w:r>
    </w:p>
    <w:p w14:paraId="00EAD724">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Installation of a rainwater drainage system to manage stormwater and prevent flooding.</w:t>
      </w:r>
    </w:p>
    <w:p w14:paraId="4C4C2EE8">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Landscaping to reduce dust and improve aesthetics.</w:t>
      </w:r>
    </w:p>
    <w:p w14:paraId="21B06848">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Road marking and signage to improve internal traffic safety.</w:t>
      </w:r>
    </w:p>
    <w:p w14:paraId="079D439D">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Restoration of the lighting system and purchase of a generator to ensure continuous operations.</w:t>
      </w:r>
    </w:p>
    <w:p w14:paraId="37378D04">
      <w:pPr>
        <w:numPr>
          <w:ilvl w:val="0"/>
          <w:numId w:val="1"/>
        </w:numPr>
        <w:spacing w:line="276" w:lineRule="auto"/>
        <w:jc w:val="both"/>
        <w:rPr>
          <w:rFonts w:ascii="Times New Roman" w:hAnsi="Times New Roman" w:cs="Times New Roman"/>
          <w:lang w:val="en-GB"/>
        </w:rPr>
      </w:pPr>
      <w:r>
        <w:rPr>
          <w:rFonts w:ascii="Times New Roman" w:hAnsi="Times New Roman" w:cs="Times New Roman"/>
          <w:lang w:val="en-GB"/>
        </w:rPr>
        <w:t>Implementation of electronic information panels and an electronic queuing system to improve traffic management and reduce waiting times.</w:t>
      </w:r>
    </w:p>
    <w:p w14:paraId="6929A805">
      <w:pPr>
        <w:spacing w:line="276" w:lineRule="auto"/>
        <w:jc w:val="both"/>
        <w:rPr>
          <w:rFonts w:ascii="Times New Roman" w:hAnsi="Times New Roman" w:cs="Times New Roman"/>
          <w:lang w:val="en-GB"/>
        </w:rPr>
      </w:pPr>
      <w:r>
        <w:rPr>
          <w:rFonts w:ascii="Times New Roman" w:hAnsi="Times New Roman" w:cs="Times New Roman"/>
          <w:b/>
          <w:bCs/>
          <w:lang w:val="en-GB"/>
        </w:rPr>
        <w:t xml:space="preserve">Sanitary and Environmental Improvements: </w:t>
      </w:r>
      <w:r>
        <w:rPr>
          <w:rFonts w:ascii="Times New Roman" w:hAnsi="Times New Roman" w:cs="Times New Roman"/>
          <w:lang w:val="en-GB"/>
        </w:rPr>
        <w:t xml:space="preserve">The extension will significantly improve sanitary conditions for staff and drivers, including dedicated shower cabins and new sanitary facilities based on the project design. A biological wastewater treatment plant (WWTP) with a capacity of 15m³/24h will be installed, as required by the </w:t>
      </w:r>
      <w:r>
        <w:rPr>
          <w:rFonts w:ascii="Times New Roman" w:hAnsi="Times New Roman" w:cs="Times New Roman"/>
          <w:b/>
          <w:bCs/>
          <w:lang w:val="en-GB"/>
        </w:rPr>
        <w:t>Environmental Agreement no. 0191/447/2024 of 15.08.2024</w:t>
      </w:r>
      <w:r>
        <w:rPr>
          <w:rFonts w:ascii="Times New Roman" w:hAnsi="Times New Roman" w:cs="Times New Roman"/>
          <w:lang w:val="en-GB"/>
        </w:rPr>
        <w:t>. Additionally, a hydrocarbon separator will be integrated to manage accidental spills and comply with national environmental protection standards.</w:t>
      </w:r>
    </w:p>
    <w:p w14:paraId="7E1FB249">
      <w:pPr>
        <w:spacing w:line="276" w:lineRule="auto"/>
        <w:jc w:val="both"/>
        <w:rPr>
          <w:rFonts w:ascii="Times New Roman" w:hAnsi="Times New Roman" w:cs="Times New Roman"/>
          <w:lang w:val="en-GB"/>
        </w:rPr>
      </w:pPr>
      <w:r>
        <w:rPr>
          <w:rFonts w:ascii="Times New Roman" w:hAnsi="Times New Roman" w:cs="Times New Roman"/>
          <w:b/>
          <w:bCs/>
          <w:lang w:val="en-GB"/>
        </w:rPr>
        <w:t xml:space="preserve">Design Update and Permitting Status: </w:t>
      </w:r>
      <w:r>
        <w:rPr>
          <w:rFonts w:ascii="Times New Roman" w:hAnsi="Times New Roman" w:cs="Times New Roman"/>
          <w:lang w:val="en-GB"/>
        </w:rPr>
        <w:t>The update of the platform’s design is ongoing. The Environmental Permit for the project has already been issued. Preliminary data from the Giurgiulesti customs post estimate that the platform will handle 60–120 trucks per day, with potential peaks of up to 300 trucks under special circumstances.</w:t>
      </w:r>
    </w:p>
    <w:p w14:paraId="21079EFF">
      <w:pPr>
        <w:spacing w:line="276" w:lineRule="auto"/>
        <w:jc w:val="both"/>
        <w:rPr>
          <w:rFonts w:ascii="Times New Roman" w:hAnsi="Times New Roman" w:cs="Times New Roman"/>
          <w:lang w:val="en-GB"/>
        </w:rPr>
      </w:pPr>
      <w:r>
        <w:rPr>
          <w:rFonts w:ascii="Times New Roman" w:hAnsi="Times New Roman" w:cs="Times New Roman"/>
          <w:lang w:val="en-GB"/>
        </w:rPr>
        <w:t>This expansion and modernization initiative will ensure efficient customs operations, alleviate community concerns, and comply with all applicable environmental and social management obligations as outlined in the ESMP Checklist.</w:t>
      </w:r>
    </w:p>
    <w:p w14:paraId="3EE7891A">
      <w:pPr>
        <w:spacing w:line="276" w:lineRule="auto"/>
        <w:jc w:val="both"/>
        <w:rPr>
          <w:rFonts w:ascii="Times New Roman" w:hAnsi="Times New Roman" w:cs="Times New Roman"/>
        </w:rPr>
      </w:pPr>
      <w:r>
        <w:rPr>
          <w:rFonts w:ascii="Times New Roman" w:hAnsi="Times New Roman" w:cs="Times New Roman"/>
        </w:rPr>
        <w:t xml:space="preserve">In the design the new artesian well will be drilled </w:t>
      </w:r>
      <w:r>
        <w:rPr>
          <w:rFonts w:ascii="Times New Roman" w:hAnsi="Times New Roman" w:cs="Times New Roman"/>
          <w:b/>
          <w:bCs/>
          <w:i/>
          <w:iCs/>
        </w:rPr>
        <w:t>for water supply</w:t>
      </w:r>
      <w:r>
        <w:rPr>
          <w:rFonts w:ascii="Times New Roman" w:hAnsi="Times New Roman" w:cs="Times New Roman"/>
        </w:rPr>
        <w:t xml:space="preserve">. </w:t>
      </w:r>
    </w:p>
    <w:p w14:paraId="7902F1DB">
      <w:pPr>
        <w:spacing w:line="276" w:lineRule="auto"/>
        <w:jc w:val="both"/>
        <w:rPr>
          <w:rFonts w:ascii="Times New Roman" w:hAnsi="Times New Roman" w:cs="Times New Roman"/>
        </w:rPr>
      </w:pPr>
      <w:r>
        <w:rPr>
          <w:rFonts w:ascii="Times New Roman" w:hAnsi="Times New Roman" w:cs="Times New Roman"/>
        </w:rPr>
        <w:t xml:space="preserve">Water supply for the site will be provided from the planned artesian well with a flow of approx. 10 m³/24 hours. </w:t>
      </w:r>
    </w:p>
    <w:p w14:paraId="7BB5DB17">
      <w:pPr>
        <w:spacing w:line="276" w:lineRule="auto"/>
        <w:jc w:val="both"/>
        <w:rPr>
          <w:rFonts w:ascii="Times New Roman" w:hAnsi="Times New Roman" w:cs="Times New Roman"/>
        </w:rPr>
      </w:pPr>
      <w:r>
        <w:rPr>
          <w:rFonts w:ascii="Times New Roman" w:hAnsi="Times New Roman" w:cs="Times New Roman"/>
        </w:rPr>
        <w:t>The construction of an artesian well is planned as part of the Giurgiulești Customs Control Zone redevelopment project, intended to supply technical water to the showers and sanitary blocks. However, the technical project for the well has not yet been developed or included in the current stage.</w:t>
      </w:r>
    </w:p>
    <w:p w14:paraId="66C68376">
      <w:pPr>
        <w:spacing w:line="276" w:lineRule="auto"/>
        <w:jc w:val="both"/>
        <w:rPr>
          <w:rFonts w:ascii="Times New Roman" w:hAnsi="Times New Roman" w:cs="Times New Roman"/>
        </w:rPr>
      </w:pPr>
      <w:r>
        <w:rPr>
          <w:rFonts w:ascii="Times New Roman" w:hAnsi="Times New Roman" w:cs="Times New Roman"/>
        </w:rPr>
        <w:t>The environmental permit confirms the well is in the planning stage and requires a sanitary protection zone in accordance with Government Decision No. 949/2013.</w:t>
      </w:r>
    </w:p>
    <w:p w14:paraId="68AE3E6D">
      <w:pPr>
        <w:spacing w:line="276" w:lineRule="auto"/>
        <w:jc w:val="both"/>
        <w:rPr>
          <w:rFonts w:ascii="Times New Roman" w:hAnsi="Times New Roman" w:cs="Times New Roman"/>
        </w:rPr>
      </w:pPr>
      <w:r>
        <w:rPr>
          <w:rFonts w:ascii="Times New Roman" w:hAnsi="Times New Roman" w:cs="Times New Roman"/>
        </w:rPr>
        <w:t>The Agency for Geology and Mineral Resources has approved the coordination of the well design, indicating that a separate hydrogeological study and project design will be elaborated based on site-specific conditions.</w:t>
      </w:r>
    </w:p>
    <w:p w14:paraId="7F9DBF66">
      <w:pPr>
        <w:spacing w:line="276" w:lineRule="auto"/>
        <w:jc w:val="both"/>
        <w:rPr>
          <w:rFonts w:ascii="Times New Roman" w:hAnsi="Times New Roman" w:cs="Times New Roman"/>
        </w:rPr>
      </w:pPr>
      <w:r>
        <w:rPr>
          <w:rFonts w:ascii="Times New Roman" w:hAnsi="Times New Roman" w:cs="Times New Roman"/>
        </w:rPr>
        <w:t>The well design will need to be submitted for review and compliance with national standards on groundwater protection and rational use.</w:t>
      </w:r>
    </w:p>
    <w:p w14:paraId="12C78580">
      <w:pPr>
        <w:spacing w:line="276" w:lineRule="auto"/>
        <w:jc w:val="both"/>
        <w:rPr>
          <w:rFonts w:ascii="Times New Roman" w:hAnsi="Times New Roman" w:cs="Times New Roman"/>
        </w:rPr>
      </w:pPr>
    </w:p>
    <w:p w14:paraId="7B4B9E61">
      <w:pPr>
        <w:spacing w:line="276" w:lineRule="auto"/>
        <w:jc w:val="both"/>
        <w:rPr>
          <w:rFonts w:ascii="Times New Roman" w:hAnsi="Times New Roman" w:cs="Times New Roman"/>
        </w:rPr>
      </w:pPr>
      <w:r>
        <w:rPr>
          <w:rFonts w:ascii="Times New Roman" w:hAnsi="Times New Roman" w:cs="Times New Roman"/>
          <w:b/>
          <w:bCs/>
          <w:i/>
          <w:iCs/>
        </w:rPr>
        <w:t>The electricity is available on site.</w:t>
      </w:r>
      <w:r>
        <w:rPr>
          <w:rFonts w:ascii="Times New Roman" w:hAnsi="Times New Roman" w:cs="Times New Roman"/>
        </w:rPr>
        <w:t xml:space="preserve"> </w:t>
      </w:r>
    </w:p>
    <w:p w14:paraId="2CCFCA0D">
      <w:pPr>
        <w:spacing w:line="276" w:lineRule="auto"/>
        <w:jc w:val="both"/>
        <w:rPr>
          <w:rFonts w:ascii="Times New Roman" w:hAnsi="Times New Roman" w:cs="Times New Roman"/>
          <w:lang w:val="en-GB"/>
        </w:rPr>
      </w:pPr>
      <w:r>
        <w:rPr>
          <w:rFonts w:ascii="Times New Roman" w:hAnsi="Times New Roman" w:cs="Times New Roman"/>
          <w:lang w:val="en-GB"/>
        </w:rPr>
        <w:t>The electricity supply for the Giurgiulești Customs Control Zone will be provided through a dual-source system:</w:t>
      </w:r>
    </w:p>
    <w:p w14:paraId="3A871D54">
      <w:pPr>
        <w:numPr>
          <w:ilvl w:val="0"/>
          <w:numId w:val="2"/>
        </w:numPr>
        <w:spacing w:line="276" w:lineRule="auto"/>
        <w:jc w:val="both"/>
        <w:rPr>
          <w:rFonts w:ascii="Times New Roman" w:hAnsi="Times New Roman" w:cs="Times New Roman"/>
          <w:lang w:val="en-GB"/>
        </w:rPr>
      </w:pPr>
      <w:r>
        <w:rPr>
          <w:rFonts w:ascii="Times New Roman" w:hAnsi="Times New Roman" w:cs="Times New Roman"/>
          <w:lang w:val="en-GB"/>
        </w:rPr>
        <w:t>The primary supply will be connected to the national electricity grid, ensuring sufficient capacity for site lighting, sanitary facilities, the biological treatment plant, surveillance systems, and other equipment.</w:t>
      </w:r>
    </w:p>
    <w:p w14:paraId="6C7CF9BA">
      <w:pPr>
        <w:numPr>
          <w:ilvl w:val="0"/>
          <w:numId w:val="2"/>
        </w:numPr>
        <w:spacing w:line="276" w:lineRule="auto"/>
        <w:jc w:val="both"/>
        <w:rPr>
          <w:rFonts w:ascii="Times New Roman" w:hAnsi="Times New Roman" w:cs="Times New Roman"/>
          <w:lang w:val="en-GB"/>
        </w:rPr>
      </w:pPr>
      <w:r>
        <w:rPr>
          <w:rFonts w:ascii="Times New Roman" w:hAnsi="Times New Roman" w:cs="Times New Roman"/>
          <w:lang w:val="en-GB"/>
        </w:rPr>
        <w:t>A backup diesel generator with a rated capacity of 50 kW will be installed on-site to maintain uninterrupted power during grid outages. The generator is designed to cover the full nominal site load of approximately 44 kW/h.</w:t>
      </w:r>
    </w:p>
    <w:p w14:paraId="11854916">
      <w:pPr>
        <w:numPr>
          <w:ilvl w:val="0"/>
          <w:numId w:val="2"/>
        </w:numPr>
        <w:spacing w:line="276" w:lineRule="auto"/>
        <w:jc w:val="both"/>
        <w:rPr>
          <w:rFonts w:ascii="Times New Roman" w:hAnsi="Times New Roman" w:cs="Times New Roman"/>
          <w:lang w:val="en-GB"/>
        </w:rPr>
      </w:pPr>
      <w:r>
        <w:rPr>
          <w:rFonts w:ascii="Times New Roman" w:hAnsi="Times New Roman" w:cs="Times New Roman"/>
          <w:lang w:val="en-GB"/>
        </w:rPr>
        <w:t>The installation includes refurbishment of the internal electrical system, structured cabling (video/internet), and compliance with all national standards for fire safety and electrical installations.</w:t>
      </w:r>
    </w:p>
    <w:p w14:paraId="0B63174A">
      <w:pPr>
        <w:spacing w:line="276" w:lineRule="auto"/>
        <w:jc w:val="both"/>
        <w:rPr>
          <w:rFonts w:ascii="Times New Roman" w:hAnsi="Times New Roman" w:cs="Times New Roman"/>
        </w:rPr>
      </w:pPr>
    </w:p>
    <w:p w14:paraId="62339DDE">
      <w:pPr>
        <w:spacing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b/>
          <w:bCs/>
          <w:i/>
          <w:iCs/>
        </w:rPr>
        <w:t>The gas supply will be from tank</w:t>
      </w:r>
      <w:r>
        <w:rPr>
          <w:rFonts w:ascii="Times New Roman" w:hAnsi="Times New Roman" w:cs="Times New Roman"/>
        </w:rPr>
        <w:t>. The gas supply for the Giurgiulești Customs Control Zone will be ensured via an individual above-ground liquefied petroleum gas (LPG) tank.</w:t>
      </w:r>
    </w:p>
    <w:p w14:paraId="45362B7C">
      <w:pPr>
        <w:spacing w:line="276" w:lineRule="auto"/>
        <w:jc w:val="both"/>
        <w:rPr>
          <w:rFonts w:ascii="Times New Roman" w:hAnsi="Times New Roman" w:cs="Times New Roman"/>
        </w:rPr>
      </w:pPr>
      <w:r>
        <w:rPr>
          <w:rFonts w:ascii="Times New Roman" w:hAnsi="Times New Roman" w:cs="Times New Roman"/>
        </w:rPr>
        <w:t>The gas will be used to fuel heating and domestic needs, including facilities such as showers and sanitary blocks. This solution is chosen due to the absence of a centralized gas distribution network at the project location. The LPG tank will be installed in accordance with applicable safety and construction norms and will include fire protection and signage measures. This solution ensures autonomy in gas supply and simplifies implementation in remote or non-connected areas.</w:t>
      </w:r>
    </w:p>
    <w:p w14:paraId="53837EBD">
      <w:pPr>
        <w:spacing w:line="276" w:lineRule="auto"/>
        <w:jc w:val="both"/>
        <w:rPr>
          <w:rFonts w:ascii="Times New Roman" w:hAnsi="Times New Roman" w:cs="Times New Roman"/>
        </w:rPr>
      </w:pPr>
    </w:p>
    <w:p w14:paraId="76A1FFC2">
      <w:pPr>
        <w:spacing w:line="276" w:lineRule="auto"/>
        <w:jc w:val="both"/>
        <w:rPr>
          <w:rFonts w:ascii="Times New Roman" w:hAnsi="Times New Roman" w:cs="Times New Roman"/>
        </w:rPr>
      </w:pPr>
      <w:r>
        <w:rPr>
          <w:rFonts w:ascii="Times New Roman" w:hAnsi="Times New Roman" w:cs="Times New Roman"/>
          <w:lang w:val="ro-RO" w:eastAsia="ro-RO"/>
        </w:rPr>
        <w:drawing>
          <wp:inline distT="0" distB="0" distL="0" distR="0">
            <wp:extent cx="5731510" cy="4020185"/>
            <wp:effectExtent l="0" t="0" r="2540" b="0"/>
            <wp:docPr id="14291202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20226"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731510" cy="4020185"/>
                    </a:xfrm>
                    <a:prstGeom prst="rect">
                      <a:avLst/>
                    </a:prstGeom>
                    <a:noFill/>
                    <a:ln>
                      <a:noFill/>
                    </a:ln>
                  </pic:spPr>
                </pic:pic>
              </a:graphicData>
            </a:graphic>
          </wp:inline>
        </w:drawing>
      </w:r>
    </w:p>
    <w:p w14:paraId="3FDDB348">
      <w:pPr>
        <w:spacing w:line="276" w:lineRule="auto"/>
        <w:jc w:val="both"/>
        <w:rPr>
          <w:rFonts w:ascii="Times New Roman" w:hAnsi="Times New Roman" w:cs="Times New Roman"/>
          <w:u w:val="single"/>
        </w:rPr>
      </w:pPr>
      <w:r>
        <w:rPr>
          <w:rFonts w:ascii="Times New Roman" w:hAnsi="Times New Roman" w:cs="Times New Roman"/>
          <w:u w:val="single"/>
        </w:rPr>
        <w:t xml:space="preserve">Detailed design of extension of Platform </w:t>
      </w:r>
    </w:p>
    <w:p w14:paraId="769ED832">
      <w:pPr>
        <w:rPr>
          <w:lang w:eastAsia="ru-RU"/>
        </w:rPr>
      </w:pPr>
    </w:p>
    <w:p w14:paraId="0844C9C2">
      <w:pPr>
        <w:spacing w:line="276" w:lineRule="auto"/>
        <w:jc w:val="both"/>
        <w:rPr>
          <w:rFonts w:ascii="Times New Roman" w:hAnsi="Times New Roman" w:cs="Times New Roman"/>
        </w:rPr>
      </w:pPr>
      <w:r>
        <w:rPr>
          <w:rFonts w:ascii="Times New Roman" w:hAnsi="Times New Roman" w:cs="Times New Roman"/>
        </w:rPr>
        <w:t>According to the Detailed Design for extension of MCS Platform in Giurgiulesti a wastewater treatment plant (WWTP) was required by Environmental Agency. The proposed WWTP by designers is prefabricated autonomous system SBR biological wastewater treatment plant, flow 15m3/24hour.</w:t>
      </w:r>
    </w:p>
    <w:p w14:paraId="4FCE6C1A">
      <w:pPr>
        <w:spacing w:line="276" w:lineRule="auto"/>
        <w:jc w:val="both"/>
        <w:rPr>
          <w:rFonts w:ascii="Times New Roman" w:hAnsi="Times New Roman" w:cs="Times New Roman"/>
        </w:rPr>
      </w:pPr>
      <w:r>
        <w:rPr>
          <w:rFonts w:ascii="Times New Roman" w:hAnsi="Times New Roman" w:cs="Times New Roman"/>
        </w:rPr>
        <w:t xml:space="preserve">The biologically treated wastewater will be discharged into the roadside drainage ditch. </w:t>
      </w:r>
    </w:p>
    <w:p w14:paraId="5D66CBE6">
      <w:pPr>
        <w:spacing w:line="276" w:lineRule="auto"/>
        <w:jc w:val="both"/>
        <w:rPr>
          <w:rFonts w:ascii="Times New Roman" w:hAnsi="Times New Roman" w:cs="Times New Roman"/>
          <w:i/>
          <w:iCs/>
        </w:rPr>
      </w:pPr>
    </w:p>
    <w:p w14:paraId="51FCDD29">
      <w:pPr>
        <w:spacing w:line="276" w:lineRule="auto"/>
        <w:jc w:val="both"/>
        <w:rPr>
          <w:rFonts w:ascii="Times New Roman" w:hAnsi="Times New Roman" w:cs="Times New Roman"/>
        </w:rPr>
      </w:pPr>
      <w:r>
        <w:rPr>
          <w:rFonts w:ascii="Times New Roman" w:hAnsi="Times New Roman" w:cs="Times New Roman"/>
        </w:rPr>
        <w:t xml:space="preserve">A grease separator is provided upstream of the wastewater treatment plant for the pre-treatment of storm water. A hydrocarbon separator, D=2400mm with flow rate Q=30,0 l/s, equipped with internal bypass.   </w:t>
      </w:r>
    </w:p>
    <w:p w14:paraId="409DD68F">
      <w:pPr>
        <w:spacing w:line="276" w:lineRule="auto"/>
        <w:jc w:val="both"/>
        <w:rPr>
          <w:rFonts w:ascii="Times New Roman" w:hAnsi="Times New Roman" w:cs="Times New Roman"/>
        </w:rPr>
      </w:pPr>
      <w:r>
        <w:rPr>
          <w:rFonts w:ascii="Times New Roman" w:hAnsi="Times New Roman" w:cs="Times New Roman"/>
        </w:rPr>
        <w:t xml:space="preserve">As well as rainwater, which passes through hydrocarbon separators before being released into the same ditch. </w:t>
      </w:r>
    </w:p>
    <w:p w14:paraId="786E8DA3">
      <w:pPr>
        <w:rPr>
          <w:rFonts w:ascii="Times New Roman" w:hAnsi="Times New Roman" w:cs="Times New Roman"/>
        </w:rPr>
      </w:pPr>
      <w:r>
        <w:rPr>
          <w:rFonts w:ascii="Times New Roman" w:hAnsi="Times New Roman" w:cs="Times New Roman"/>
        </w:rPr>
        <w:t>The Environmental Agreement (Acord de Mediu) confirms the treated water will be discharged into the roadside ditch.</w:t>
      </w:r>
    </w:p>
    <w:p w14:paraId="1CC581FE">
      <w:pPr>
        <w:spacing w:line="276" w:lineRule="auto"/>
        <w:jc w:val="both"/>
        <w:rPr>
          <w:rFonts w:ascii="Times New Roman" w:hAnsi="Times New Roman" w:cs="Times New Roman"/>
        </w:rPr>
      </w:pPr>
    </w:p>
    <w:p w14:paraId="6CBD44E2">
      <w:pPr>
        <w:jc w:val="both"/>
        <w:rPr>
          <w:rFonts w:ascii="Times New Roman" w:hAnsi="Times New Roman" w:cs="Times New Roman"/>
          <w:lang w:val="en-GB"/>
        </w:rPr>
      </w:pPr>
      <w:r>
        <w:rPr>
          <w:rFonts w:ascii="Times New Roman" w:hAnsi="Times New Roman" w:cs="Times New Roman"/>
          <w:lang w:val="en-GB"/>
        </w:rPr>
        <w:t>The compact wastewater treatment station project must address several environmental risks: eliminating odours in the area, treatment to applied standards, and disinfection before discharge into the rainwater outlet system or to be used for local irrigation.</w:t>
      </w:r>
    </w:p>
    <w:p w14:paraId="64FAE58A">
      <w:pPr>
        <w:rPr>
          <w:rFonts w:ascii="Times New Roman" w:hAnsi="Times New Roman" w:cs="Times New Roman"/>
          <w:b/>
          <w:bCs/>
          <w:lang w:val="en-GB"/>
        </w:rPr>
      </w:pPr>
      <w:r>
        <w:rPr>
          <w:rFonts w:ascii="Times New Roman" w:hAnsi="Times New Roman" w:cs="Times New Roman"/>
          <w:b/>
          <w:bCs/>
          <w:lang w:val="en-GB"/>
        </w:rPr>
        <w:t>Other related technical aspects of this subproject, duration of works execution</w:t>
      </w:r>
    </w:p>
    <w:p w14:paraId="3F14096D">
      <w:pPr>
        <w:rPr>
          <w:rFonts w:ascii="Times New Roman" w:hAnsi="Times New Roman" w:cs="Times New Roman"/>
          <w:lang w:val="en-GB" w:eastAsia="ru-RU"/>
        </w:rPr>
      </w:pPr>
      <w:r>
        <w:rPr>
          <w:rFonts w:ascii="Times New Roman" w:hAnsi="Times New Roman" w:cs="Times New Roman"/>
          <w:lang w:val="en-GB" w:eastAsia="ru-RU"/>
        </w:rPr>
        <w:t>This subproject concerns the redevelopment of the Giurgiulești Customs Control Zone (ZCV) and includes a range of civil, utility, and environmental infrastructure works. The works are planned in accordance with national legislation and World Bank Environmental and Social Framework requirements.</w:t>
      </w:r>
    </w:p>
    <w:p w14:paraId="53B56B7A">
      <w:pPr>
        <w:rPr>
          <w:rFonts w:ascii="Times New Roman" w:hAnsi="Times New Roman" w:cs="Times New Roman"/>
          <w:lang w:val="en-GB" w:eastAsia="ru-RU"/>
        </w:rPr>
      </w:pPr>
      <w:r>
        <w:rPr>
          <w:rFonts w:ascii="Times New Roman" w:hAnsi="Times New Roman" w:cs="Times New Roman"/>
          <w:lang w:val="en-GB" w:eastAsia="ru-RU"/>
        </w:rPr>
        <w:t xml:space="preserve">The construction works for the Giurgiulești Customs Control Zone subproject are planned to be executed within a period ending by </w:t>
      </w:r>
      <w:r>
        <w:rPr>
          <w:rFonts w:ascii="Times New Roman" w:hAnsi="Times New Roman" w:cs="Times New Roman"/>
          <w:b/>
          <w:bCs/>
          <w:lang w:val="en-GB" w:eastAsia="ru-RU"/>
        </w:rPr>
        <w:t>March 31, 2026</w:t>
      </w:r>
      <w:r>
        <w:rPr>
          <w:rFonts w:ascii="Times New Roman" w:hAnsi="Times New Roman" w:cs="Times New Roman"/>
          <w:lang w:val="en-GB" w:eastAsia="ru-RU"/>
        </w:rPr>
        <w:t xml:space="preserve">. This timeframe allows for approximately </w:t>
      </w:r>
      <w:r>
        <w:rPr>
          <w:rFonts w:ascii="Times New Roman" w:hAnsi="Times New Roman" w:cs="Times New Roman"/>
          <w:b/>
          <w:bCs/>
          <w:lang w:val="en-GB" w:eastAsia="ru-RU"/>
        </w:rPr>
        <w:t>9 to 10 months</w:t>
      </w:r>
      <w:r>
        <w:rPr>
          <w:rFonts w:ascii="Times New Roman" w:hAnsi="Times New Roman" w:cs="Times New Roman"/>
          <w:lang w:val="en-GB" w:eastAsia="ru-RU"/>
        </w:rPr>
        <w:t xml:space="preserve"> for full implementation, assuming contract signing by mid-2025.</w:t>
      </w:r>
    </w:p>
    <w:p w14:paraId="149EBF65">
      <w:pPr>
        <w:rPr>
          <w:rFonts w:ascii="Times New Roman" w:hAnsi="Times New Roman" w:cs="Times New Roman"/>
          <w:lang w:val="en-GB" w:eastAsia="ru-RU"/>
        </w:rPr>
      </w:pPr>
      <w:r>
        <w:rPr>
          <w:rFonts w:ascii="Times New Roman" w:hAnsi="Times New Roman" w:cs="Times New Roman"/>
          <w:lang w:val="en-GB" w:eastAsia="ru-RU"/>
        </w:rPr>
        <w:t>The subproject includes the following categories of work:</w:t>
      </w:r>
    </w:p>
    <w:p w14:paraId="29214229">
      <w:pPr>
        <w:rPr>
          <w:rFonts w:ascii="Times New Roman" w:hAnsi="Times New Roman" w:cs="Times New Roman"/>
          <w:lang w:val="en-GB" w:eastAsia="ru-RU"/>
        </w:rPr>
      </w:pPr>
      <w:r>
        <w:rPr>
          <w:rFonts w:ascii="Times New Roman" w:hAnsi="Times New Roman" w:cs="Times New Roman"/>
          <w:lang w:val="en-GB" w:eastAsia="ru-RU"/>
        </w:rPr>
        <w:t>a) Civil and Site Development Works</w:t>
      </w:r>
    </w:p>
    <w:p w14:paraId="7BF3E8C5">
      <w:pPr>
        <w:numPr>
          <w:ilvl w:val="0"/>
          <w:numId w:val="3"/>
        </w:numPr>
        <w:rPr>
          <w:rFonts w:ascii="Times New Roman" w:hAnsi="Times New Roman" w:cs="Times New Roman"/>
          <w:lang w:val="en-GB" w:eastAsia="ru-RU"/>
        </w:rPr>
      </w:pPr>
      <w:r>
        <w:rPr>
          <w:rFonts w:ascii="Times New Roman" w:hAnsi="Times New Roman" w:cs="Times New Roman"/>
          <w:lang w:val="en-GB" w:eastAsia="ru-RU"/>
        </w:rPr>
        <w:t>Earthworks (excavation, backfilling, grading, compaction)</w:t>
      </w:r>
    </w:p>
    <w:p w14:paraId="5735D184">
      <w:pPr>
        <w:numPr>
          <w:ilvl w:val="0"/>
          <w:numId w:val="3"/>
        </w:numPr>
        <w:rPr>
          <w:rFonts w:ascii="Times New Roman" w:hAnsi="Times New Roman" w:cs="Times New Roman"/>
          <w:lang w:val="en-GB" w:eastAsia="ru-RU"/>
        </w:rPr>
      </w:pPr>
      <w:r>
        <w:rPr>
          <w:rFonts w:ascii="Times New Roman" w:hAnsi="Times New Roman" w:cs="Times New Roman"/>
          <w:lang w:val="en-GB" w:eastAsia="ru-RU"/>
        </w:rPr>
        <w:t>Road construction and expansion of parking areas (asphalt and concrete surfaces)</w:t>
      </w:r>
    </w:p>
    <w:p w14:paraId="46B389D9">
      <w:pPr>
        <w:numPr>
          <w:ilvl w:val="0"/>
          <w:numId w:val="3"/>
        </w:numPr>
        <w:rPr>
          <w:rFonts w:ascii="Times New Roman" w:hAnsi="Times New Roman" w:cs="Times New Roman"/>
          <w:lang w:val="en-GB" w:eastAsia="ru-RU"/>
        </w:rPr>
      </w:pPr>
      <w:r>
        <w:rPr>
          <w:rFonts w:ascii="Times New Roman" w:hAnsi="Times New Roman" w:cs="Times New Roman"/>
          <w:lang w:val="en-GB" w:eastAsia="ru-RU"/>
        </w:rPr>
        <w:t>Installation of curbs, sidewalks, and road markings</w:t>
      </w:r>
    </w:p>
    <w:p w14:paraId="70BC1BF3">
      <w:pPr>
        <w:numPr>
          <w:ilvl w:val="0"/>
          <w:numId w:val="3"/>
        </w:numPr>
        <w:rPr>
          <w:rFonts w:ascii="Times New Roman" w:hAnsi="Times New Roman" w:cs="Times New Roman"/>
          <w:lang w:val="en-GB" w:eastAsia="ru-RU"/>
        </w:rPr>
      </w:pPr>
      <w:r>
        <w:rPr>
          <w:rFonts w:ascii="Times New Roman" w:hAnsi="Times New Roman" w:cs="Times New Roman"/>
          <w:lang w:val="en-GB" w:eastAsia="ru-RU"/>
        </w:rPr>
        <w:t>Rainwater drainage infrastructure and oil separators</w:t>
      </w:r>
    </w:p>
    <w:p w14:paraId="7B893C79">
      <w:pPr>
        <w:numPr>
          <w:ilvl w:val="0"/>
          <w:numId w:val="3"/>
        </w:numPr>
        <w:rPr>
          <w:rFonts w:ascii="Times New Roman" w:hAnsi="Times New Roman" w:cs="Times New Roman"/>
          <w:lang w:val="en-GB" w:eastAsia="ru-RU"/>
        </w:rPr>
      </w:pPr>
      <w:r>
        <w:rPr>
          <w:rFonts w:ascii="Times New Roman" w:hAnsi="Times New Roman" w:cs="Times New Roman"/>
          <w:lang w:val="en-GB" w:eastAsia="ru-RU"/>
        </w:rPr>
        <w:t>Perimeter fencing and site access facilities</w:t>
      </w:r>
    </w:p>
    <w:p w14:paraId="5AE1F042">
      <w:pPr>
        <w:rPr>
          <w:rFonts w:ascii="Times New Roman" w:hAnsi="Times New Roman" w:cs="Times New Roman"/>
          <w:lang w:val="en-GB" w:eastAsia="ru-RU"/>
        </w:rPr>
      </w:pPr>
      <w:r>
        <w:rPr>
          <w:rFonts w:ascii="Times New Roman" w:hAnsi="Times New Roman" w:cs="Times New Roman"/>
          <w:lang w:val="en-GB" w:eastAsia="ru-RU"/>
        </w:rPr>
        <w:t>b) Utility Infrastructure</w:t>
      </w:r>
    </w:p>
    <w:p w14:paraId="33C239CE">
      <w:pPr>
        <w:rPr>
          <w:rFonts w:ascii="Times New Roman" w:hAnsi="Times New Roman" w:cs="Times New Roman"/>
          <w:lang w:val="en-GB" w:eastAsia="ru-RU"/>
        </w:rPr>
      </w:pPr>
      <w:r>
        <w:rPr>
          <w:rFonts w:ascii="Times New Roman" w:hAnsi="Times New Roman" w:cs="Times New Roman"/>
          <w:lang w:val="en-GB" w:eastAsia="ru-RU"/>
        </w:rPr>
        <w:t>c) Technical Installations and Equipment (Installation of video surveillance (CCTV) systems, Data and internet communication infrastructure, Area lighting and electronic display systems, Equipment cabins, storage units, and signage.</w:t>
      </w:r>
    </w:p>
    <w:p w14:paraId="3A9B1676">
      <w:pPr>
        <w:rPr>
          <w:rFonts w:ascii="Times New Roman" w:hAnsi="Times New Roman" w:cs="Times New Roman"/>
          <w:lang w:val="en-GB" w:eastAsia="ru-RU"/>
        </w:rPr>
      </w:pPr>
      <w:r>
        <w:rPr>
          <w:rFonts w:ascii="Times New Roman" w:hAnsi="Times New Roman" w:cs="Times New Roman"/>
          <w:lang w:val="en-GB" w:eastAsia="ru-RU"/>
        </w:rPr>
        <w:t>d) Environmental and Safety Provisions (Installation of hydrocarbon separators for treated runoff from parking and manoeuvring zones, Dust suppression and runoff control measures during construction, Safety signage, worker PPE, and access controls, Establishment of a sanitary protection zone for the well as per national regulation (HG 949/2013))</w:t>
      </w:r>
    </w:p>
    <w:p w14:paraId="78BB1F08">
      <w:pPr>
        <w:rPr>
          <w:rFonts w:ascii="Times New Roman" w:hAnsi="Times New Roman" w:cs="Times New Roman"/>
          <w:lang w:val="en-GB" w:eastAsia="ru-RU"/>
        </w:rPr>
      </w:pPr>
      <w:r>
        <w:rPr>
          <w:rFonts w:ascii="Times New Roman" w:hAnsi="Times New Roman" w:cs="Times New Roman"/>
          <w:lang w:val="en-GB" w:eastAsia="ru-RU"/>
        </w:rPr>
        <w:t>e) Temporary Works and Logistics (Setup of temporary construction access roads and storage zones, Placement of construction site office, sanitary facilities, and waste containers, Compliance with all safety protocols for on-site operations).</w:t>
      </w:r>
    </w:p>
    <w:p w14:paraId="5C671ABE">
      <w:pPr>
        <w:rPr>
          <w:rFonts w:ascii="Times New Roman" w:hAnsi="Times New Roman" w:cs="Times New Roman"/>
          <w:lang w:eastAsia="ru-RU"/>
        </w:rPr>
      </w:pPr>
    </w:p>
    <w:p w14:paraId="52E5A16C">
      <w:pPr>
        <w:rPr>
          <w:lang w:eastAsia="ru-RU"/>
        </w:rPr>
      </w:pPr>
    </w:p>
    <w:p w14:paraId="635A0DBB">
      <w:pPr>
        <w:rPr>
          <w:lang w:eastAsia="ru-RU"/>
        </w:rPr>
      </w:pPr>
    </w:p>
    <w:p w14:paraId="52D7FE2A">
      <w:pPr>
        <w:rPr>
          <w:lang w:eastAsia="ru-RU"/>
        </w:rPr>
      </w:pPr>
    </w:p>
    <w:p w14:paraId="32FB045B">
      <w:pPr>
        <w:rPr>
          <w:lang w:eastAsia="ru-RU"/>
        </w:rPr>
      </w:pPr>
      <w:r>
        <w:rPr>
          <w:lang w:eastAsia="ru-RU"/>
        </w:rPr>
        <w:br w:type="page"/>
      </w:r>
    </w:p>
    <w:p w14:paraId="7655463E">
      <w:pPr>
        <w:rPr>
          <w:lang w:eastAsia="ru-RU"/>
        </w:rPr>
      </w:pPr>
    </w:p>
    <w:p w14:paraId="461FC6A2">
      <w:pPr>
        <w:autoSpaceDE w:val="0"/>
        <w:autoSpaceDN w:val="0"/>
        <w:adjustRightInd w:val="0"/>
        <w:spacing w:after="0" w:line="276" w:lineRule="auto"/>
        <w:jc w:val="both"/>
        <w:rPr>
          <w:rFonts w:ascii="Times New Roman" w:hAnsi="Times New Roman" w:cs="Times New Roman"/>
          <w:b/>
          <w:bCs/>
          <w:color w:val="000000"/>
          <w:lang w:val="en-GB"/>
        </w:rPr>
      </w:pPr>
      <w:r>
        <w:rPr>
          <w:rFonts w:ascii="Times New Roman" w:hAnsi="Times New Roman" w:cs="Times New Roman"/>
          <w:b/>
          <w:bCs/>
          <w:color w:val="000000"/>
          <w:lang w:val="en-GB"/>
        </w:rPr>
        <w:t>PUBLIC CONSULTATION AND GRIEVANCE MECHANISM</w:t>
      </w:r>
    </w:p>
    <w:p w14:paraId="483090F1">
      <w:pPr>
        <w:autoSpaceDE w:val="0"/>
        <w:autoSpaceDN w:val="0"/>
        <w:adjustRightInd w:val="0"/>
        <w:spacing w:after="0" w:line="276" w:lineRule="auto"/>
        <w:jc w:val="both"/>
        <w:rPr>
          <w:rFonts w:ascii="Times New Roman" w:hAnsi="Times New Roman" w:cs="Times New Roman"/>
          <w:b/>
          <w:bCs/>
          <w:color w:val="000000"/>
          <w:lang w:val="en-GB"/>
        </w:rPr>
      </w:pPr>
    </w:p>
    <w:p w14:paraId="4C1401F4">
      <w:pPr>
        <w:autoSpaceDE w:val="0"/>
        <w:autoSpaceDN w:val="0"/>
        <w:adjustRightInd w:val="0"/>
        <w:spacing w:after="0" w:line="276" w:lineRule="auto"/>
        <w:jc w:val="both"/>
        <w:rPr>
          <w:rFonts w:ascii="Times New Roman" w:hAnsi="Times New Roman" w:cs="Times New Roman"/>
          <w:b/>
          <w:bCs/>
          <w:color w:val="000000"/>
          <w:lang w:val="en-GB"/>
        </w:rPr>
      </w:pPr>
      <w:r>
        <w:rPr>
          <w:rFonts w:ascii="Times New Roman" w:hAnsi="Times New Roman" w:cs="Times New Roman"/>
          <w:b/>
          <w:bCs/>
          <w:color w:val="000000"/>
          <w:lang w:val="en-GB"/>
        </w:rPr>
        <w:t>Public Consultation</w:t>
      </w:r>
    </w:p>
    <w:p w14:paraId="7AA96B21">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rPr>
        <w:t>Public consultations are a key element of the Environmental and Social Management Plan (ESMP), ensuring community involvement, transparency, and proactive identification of environmental and social concerns. They support inclusive decision-making, increase project acceptance, and help in the timely resolution of potential grievances.</w:t>
      </w:r>
    </w:p>
    <w:p w14:paraId="74499508">
      <w:pPr>
        <w:autoSpaceDE w:val="0"/>
        <w:autoSpaceDN w:val="0"/>
        <w:adjustRightInd w:val="0"/>
        <w:spacing w:after="0" w:line="276" w:lineRule="auto"/>
        <w:jc w:val="both"/>
        <w:rPr>
          <w:rFonts w:ascii="Times New Roman" w:hAnsi="Times New Roman" w:cs="Times New Roman"/>
          <w:color w:val="000000"/>
        </w:rPr>
      </w:pPr>
    </w:p>
    <w:p w14:paraId="1B4CEA9E">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rPr>
        <w:t>On April 2, 2025, a Local Consultation Committee was established in Giurgiulești to guide and monitor stakeholder engagement during the implementation of the Customs Control Zone redevelopment subproject.</w:t>
      </w:r>
      <w:r>
        <w:rPr>
          <w:rFonts w:ascii="Times New Roman" w:hAnsi="Times New Roman" w:cs="Times New Roman"/>
          <w:color w:val="000000"/>
          <w:lang w:val="en-GB"/>
        </w:rPr>
        <w:t xml:space="preserve"> E&amp;S Consultant presented in PPT the main environmental &amp; social issues and explain the mitigation measures and structure of ESMP checklist document. </w:t>
      </w:r>
    </w:p>
    <w:p w14:paraId="10B97170">
      <w:pPr>
        <w:numPr>
          <w:ilvl w:val="0"/>
          <w:numId w:val="4"/>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Feedback collected from local stakeholders, including community representatives and business owners – (better traffic control of trucks thru village, urgency of construction of Slobozia Mare bypass (M3), and Giurgiulesti bypass, if this Project is connected with expansion of Giurgiulesti port)</w:t>
      </w:r>
    </w:p>
    <w:p w14:paraId="3B567E1A">
      <w:pPr>
        <w:autoSpaceDE w:val="0"/>
        <w:autoSpaceDN w:val="0"/>
        <w:adjustRightInd w:val="0"/>
        <w:spacing w:after="0" w:line="276" w:lineRule="auto"/>
        <w:ind w:left="720"/>
        <w:jc w:val="both"/>
        <w:rPr>
          <w:rFonts w:ascii="Times New Roman" w:hAnsi="Times New Roman" w:cs="Times New Roman"/>
          <w:b/>
          <w:bCs/>
          <w:color w:val="000000"/>
          <w:lang w:val="en-GB"/>
        </w:rPr>
      </w:pPr>
      <w:bookmarkStart w:id="4" w:name="_Hlk197898921"/>
      <w:r>
        <w:rPr>
          <w:rFonts w:ascii="Times New Roman" w:hAnsi="Times New Roman" w:cs="Times New Roman"/>
          <w:color w:val="000000"/>
          <w:lang w:val="en-GB"/>
        </w:rPr>
        <w:t xml:space="preserve">Ongoing stakeholder meetings throughout the project </w:t>
      </w:r>
      <w:bookmarkEnd w:id="4"/>
      <w:r>
        <w:rPr>
          <w:rFonts w:ascii="Times New Roman" w:hAnsi="Times New Roman" w:cs="Times New Roman"/>
          <w:color w:val="000000"/>
          <w:lang w:val="en-GB"/>
        </w:rPr>
        <w:t>- SIMC meetings platform described above</w:t>
      </w:r>
    </w:p>
    <w:p w14:paraId="2E6E7F79">
      <w:pPr>
        <w:autoSpaceDE w:val="0"/>
        <w:autoSpaceDN w:val="0"/>
        <w:adjustRightInd w:val="0"/>
        <w:spacing w:after="0" w:line="276" w:lineRule="auto"/>
        <w:jc w:val="both"/>
        <w:rPr>
          <w:rFonts w:ascii="Times New Roman" w:hAnsi="Times New Roman" w:cs="Times New Roman"/>
          <w:b/>
          <w:bCs/>
          <w:color w:val="000000"/>
          <w:lang w:val="en-GB"/>
        </w:rPr>
      </w:pPr>
      <w:r>
        <w:rPr>
          <w:rFonts w:ascii="Times New Roman" w:hAnsi="Times New Roman" w:cs="Times New Roman"/>
          <w:b/>
          <w:bCs/>
          <w:color w:val="000000"/>
          <w:lang w:val="en-GB"/>
        </w:rPr>
        <w:t>Grievance Redress Mechanism</w:t>
      </w:r>
    </w:p>
    <w:p w14:paraId="079648BD">
      <w:pPr>
        <w:spacing w:line="276" w:lineRule="auto"/>
        <w:jc w:val="both"/>
        <w:rPr>
          <w:rFonts w:ascii="Times New Roman" w:hAnsi="Times New Roman" w:cs="Times New Roman"/>
        </w:rPr>
      </w:pPr>
      <w:r>
        <w:rPr>
          <w:rFonts w:ascii="Times New Roman" w:hAnsi="Times New Roman" w:cs="Times New Roman"/>
        </w:rPr>
        <w:t>The State Roads Administration (SRA) and Moldova Custom Service (MCS) developed a project-specific GRM in compliance with the World Bank’s Environmental and Social Standard 10, designed to address concerns and grievances related to the environmental and social performance of the project in a timely and efficient manner. The Project grievance mechanism will ensure that concerns are addressed promptly, effectively, and transparently, in a culturally appropriate manner. The GRM process will not prevent access to judicial or administrative remedies, and the SRA and MCS will inform project-affected parties about the grievance process during community engagement activities. Additionally, a public record documenting the responses to all grievances will be made available.</w:t>
      </w:r>
    </w:p>
    <w:p w14:paraId="2F460EEC">
      <w:pPr>
        <w:spacing w:line="276" w:lineRule="auto"/>
        <w:jc w:val="both"/>
        <w:rPr>
          <w:rFonts w:ascii="Times New Roman" w:hAnsi="Times New Roman" w:cs="Times New Roman"/>
        </w:rPr>
      </w:pPr>
      <w:r>
        <w:rPr>
          <w:rFonts w:ascii="Times New Roman" w:hAnsi="Times New Roman" w:cs="Times New Roman"/>
        </w:rPr>
        <w:t xml:space="preserve">Grievances will be handled in a culturally sensitive, discreet, objective, and responsive manner, ensuring that the needs and concerns of project-affected parties are addressed appropriately. The mechanism will also allow for the submission of anonymous complaints.    These procedures are designed to ensure that the grievance redress process aligns with organizational policies, legal requirements, and the requirements of the ESF as per the ESCP.  </w:t>
      </w:r>
    </w:p>
    <w:p w14:paraId="6C9ACCE6">
      <w:pPr>
        <w:spacing w:line="276" w:lineRule="auto"/>
        <w:jc w:val="both"/>
        <w:rPr>
          <w:rFonts w:ascii="Times New Roman" w:hAnsi="Times New Roman" w:cs="Times New Roman"/>
        </w:rPr>
      </w:pPr>
      <w:r>
        <w:rPr>
          <w:rFonts w:ascii="Times New Roman" w:hAnsi="Times New Roman" w:cs="Times New Roman"/>
        </w:rPr>
        <w:t>The grievance mechanism also plays a crucial role in mitigating and responding to issues of Sexual Exploitation and Abuse/Sexual Harassment (SEA/SH) in a survivor-centered and efficient way, aiming to prevent further harm.</w:t>
      </w:r>
    </w:p>
    <w:p w14:paraId="47721FA8">
      <w:pPr>
        <w:spacing w:line="276" w:lineRule="auto"/>
        <w:jc w:val="both"/>
        <w:rPr>
          <w:rFonts w:ascii="Times New Roman" w:hAnsi="Times New Roman" w:cs="Times New Roman"/>
        </w:rPr>
      </w:pPr>
      <w:r>
        <w:rPr>
          <w:rFonts w:ascii="Times New Roman" w:hAnsi="Times New Roman" w:cs="Times New Roman"/>
        </w:rPr>
        <w:t>The terms "grievance" and "complaint" are used interchangeably within the context of this document.</w:t>
      </w:r>
    </w:p>
    <w:p w14:paraId="21ADDD34">
      <w:pPr>
        <w:spacing w:line="276" w:lineRule="auto"/>
        <w:jc w:val="both"/>
        <w:rPr>
          <w:rFonts w:ascii="Times New Roman" w:hAnsi="Times New Roman" w:cs="Times New Roman"/>
          <w:color w:val="000000"/>
        </w:rPr>
      </w:pPr>
      <w:r>
        <w:rPr>
          <w:rFonts w:ascii="Times New Roman" w:hAnsi="Times New Roman" w:cs="Times New Roman"/>
          <w:color w:val="000000"/>
        </w:rPr>
        <w:t>The Environmental and Social Specialist within the PIU for MCS will be the  MCS Grievance Focal Point. The MCS will use their internal channels for submitting complaints and integrate them for Project GRM. Grievances</w:t>
      </w:r>
      <w:r>
        <w:rPr>
          <w:rFonts w:ascii="Times New Roman" w:hAnsi="Times New Roman" w:cs="Times New Roman"/>
        </w:rPr>
        <w:t xml:space="preserve"> received through the internal channels will be recorded and resolved by MCS. Weekly these complaints will be  extracted  from the existing electronic system and submitted  to the established focal point of the entity with subsequent transmission to the person designated by SRA in the agreed electronic format, in order to ensure a comprehensive overview of the project.</w:t>
      </w:r>
      <w:r>
        <w:rPr>
          <w:rFonts w:ascii="Times New Roman" w:hAnsi="Times New Roman" w:cs="Times New Roman"/>
          <w:color w:val="000000"/>
        </w:rPr>
        <w:t xml:space="preserve"> </w:t>
      </w:r>
    </w:p>
    <w:p w14:paraId="00354F58">
      <w:pPr>
        <w:spacing w:line="276" w:lineRule="auto"/>
        <w:jc w:val="both"/>
        <w:rPr>
          <w:rFonts w:ascii="Times New Roman" w:hAnsi="Times New Roman" w:cs="Times New Roman"/>
        </w:rPr>
      </w:pPr>
    </w:p>
    <w:p w14:paraId="1831983F">
      <w:pPr>
        <w:pStyle w:val="3"/>
        <w:spacing w:before="0" w:line="276" w:lineRule="auto"/>
        <w:ind w:left="360"/>
        <w:rPr>
          <w:rFonts w:ascii="Times New Roman" w:hAnsi="Times New Roman" w:eastAsia="Times New Roman" w:cs="Times New Roman"/>
          <w:sz w:val="22"/>
          <w:szCs w:val="22"/>
        </w:rPr>
      </w:pPr>
    </w:p>
    <w:p w14:paraId="41AA61FC">
      <w:pPr>
        <w:pStyle w:val="3"/>
        <w:spacing w:before="0" w:line="276" w:lineRule="auto"/>
        <w:ind w:left="360"/>
        <w:rPr>
          <w:rFonts w:ascii="Times New Roman" w:hAnsi="Times New Roman" w:eastAsia="Times New Roman" w:cs="Times New Roman"/>
          <w:sz w:val="22"/>
          <w:szCs w:val="22"/>
        </w:rPr>
      </w:pPr>
      <w:bookmarkStart w:id="5" w:name="_Toc184883426"/>
      <w:r>
        <w:rPr>
          <w:rFonts w:ascii="Times New Roman" w:hAnsi="Times New Roman" w:eastAsia="Times New Roman" w:cs="Times New Roman"/>
          <w:sz w:val="22"/>
          <w:szCs w:val="22"/>
        </w:rPr>
        <w:t>GRM roles and responsibilities</w:t>
      </w:r>
      <w:bookmarkEnd w:id="5"/>
    </w:p>
    <w:p w14:paraId="2994A084">
      <w:pPr>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rPr>
          <w:rFonts w:ascii="Times New Roman" w:hAnsi="Times New Roman" w:cs="Times New Roman"/>
          <w:color w:val="000000"/>
        </w:rPr>
        <w:t xml:space="preserve">The effectiveness of grievance redress is optimized when the complaint is received and resolved at the level closest to where the issue has originated.  However, any comments or concerns can be submitted to the project either verbally or in writing (via post or email) or by completing a grievance form via any of the uptake channels at any level.  The grievance form will be made available at municipal offices that are easily accessible to all relevant stakeholders, along with a description of the grievance mechanism. It will also be available at the construction sites. Grievance form is attached as an Annex </w:t>
      </w:r>
    </w:p>
    <w:p w14:paraId="426C9C75">
      <w:pPr>
        <w:spacing w:line="276" w:lineRule="auto"/>
        <w:jc w:val="both"/>
        <w:rPr>
          <w:rFonts w:ascii="Times New Roman" w:hAnsi="Times New Roman" w:cs="Times New Roman"/>
          <w:b/>
        </w:rPr>
      </w:pPr>
      <w:r>
        <w:rPr>
          <w:rFonts w:ascii="Times New Roman" w:hAnsi="Times New Roman" w:cs="Times New Roman"/>
          <w:b/>
        </w:rPr>
        <w:t>Level 1: Local level:</w:t>
      </w:r>
    </w:p>
    <w:p w14:paraId="307E6A86">
      <w:pPr>
        <w:jc w:val="both"/>
        <w:rPr>
          <w:rFonts w:ascii="Times New Roman" w:hAnsi="Times New Roman" w:cs="Times New Roman"/>
          <w:color w:val="000000"/>
        </w:rPr>
      </w:pPr>
      <w:sdt>
        <w:sdtPr>
          <w:rPr>
            <w:rFonts w:ascii="Times New Roman" w:hAnsi="Times New Roman" w:cs="Times New Roman"/>
          </w:rPr>
          <w:tag w:val="goog_rdk_43"/>
          <w:id w:val="428943773"/>
        </w:sdtPr>
        <w:sdtEndPr>
          <w:rPr>
            <w:rFonts w:ascii="Times New Roman" w:hAnsi="Times New Roman" w:cs="Times New Roman"/>
          </w:rPr>
        </w:sdtEndPr>
        <w:sdtContent/>
      </w:sdt>
      <w:sdt>
        <w:sdtPr>
          <w:rPr>
            <w:rFonts w:ascii="Times New Roman" w:hAnsi="Times New Roman" w:cs="Times New Roman"/>
          </w:rPr>
          <w:tag w:val="goog_rdk_44"/>
          <w:id w:val="-854496325"/>
        </w:sdtPr>
        <w:sdtEndPr>
          <w:rPr>
            <w:rFonts w:ascii="Times New Roman" w:hAnsi="Times New Roman" w:cs="Times New Roman"/>
          </w:rPr>
        </w:sdtEndPr>
        <w:sdtContent/>
      </w:sdt>
      <w:r>
        <w:rPr>
          <w:rFonts w:ascii="Times New Roman" w:hAnsi="Times New Roman" w:cs="Times New Roman"/>
          <w:u w:val="single"/>
        </w:rPr>
        <w:t>Contractor, Construction Supervision Engineer.</w:t>
      </w:r>
      <w:r>
        <w:rPr>
          <w:rFonts w:ascii="Times New Roman" w:hAnsi="Times New Roman" w:cs="Times New Roman"/>
        </w:rPr>
        <w:t xml:space="preserve"> The Contractor responsible for responding to any grievances received directly from stakeholders such as residents in a professional manner consistent with their contractual requirements.   The channels for grievance submission will be displayed near the construction site on a large board.). Construction Contractor will take immediate action for resolution of grievance in the most prompt.   </w:t>
      </w:r>
      <w:r>
        <w:rPr>
          <w:rFonts w:ascii="Times New Roman" w:hAnsi="Times New Roman" w:cs="Times New Roman"/>
          <w:color w:val="000000"/>
        </w:rPr>
        <w:t xml:space="preserve"> </w:t>
      </w:r>
    </w:p>
    <w:p w14:paraId="550B85B7">
      <w:pPr>
        <w:jc w:val="both"/>
        <w:rPr>
          <w:rFonts w:ascii="Times New Roman" w:hAnsi="Times New Roman" w:cs="Times New Roman"/>
        </w:rPr>
      </w:pPr>
      <w:r>
        <w:rPr>
          <w:rFonts w:ascii="Times New Roman" w:hAnsi="Times New Roman" w:cs="Times New Roman"/>
          <w:u w:val="single"/>
        </w:rPr>
        <w:t>Social Impact Monitoring Committees (SIMCs)</w:t>
      </w:r>
      <w:r>
        <w:rPr>
          <w:rFonts w:ascii="Times New Roman" w:hAnsi="Times New Roman" w:cs="Times New Roman"/>
        </w:rPr>
        <w:t xml:space="preserve"> established at Giurgiulesti project affected community for enhancing the effectiveness of addressing community needs and issues related to the Project. SIMCs will have a procedure of grievances resolution and SIMCs representatives will be trained on resolution of grievances. Grievances can be submitted through various channels, including phone calls, email, websites, SIMC meetings, site visits, citizen outreach events, and other available methods. </w:t>
      </w:r>
    </w:p>
    <w:p w14:paraId="361598D2">
      <w:pPr>
        <w:jc w:val="both"/>
        <w:rPr>
          <w:rFonts w:ascii="Times New Roman" w:hAnsi="Times New Roman" w:cs="Times New Roman"/>
        </w:rPr>
      </w:pPr>
    </w:p>
    <w:p w14:paraId="759473DF">
      <w:pPr>
        <w:jc w:val="both"/>
        <w:rPr>
          <w:rFonts w:ascii="Times New Roman" w:hAnsi="Times New Roman" w:cs="Times New Roman"/>
        </w:rPr>
      </w:pPr>
      <w:r>
        <w:rPr>
          <w:rFonts w:ascii="Times New Roman" w:hAnsi="Times New Roman" w:cs="Times New Roman"/>
        </w:rPr>
        <w:t xml:space="preserve">The contacts of SIMCs representatives and Engineer will be displayed at the more visible and accessible for community sites such as LPAs premises. SIMC shall also collect, document and address grievances referred by the local police officer. Accordingly, the local police officer should be informed that citizens can choose addressing their grievance to the SIMC and/or Contractor and Engineer.  </w:t>
      </w:r>
    </w:p>
    <w:p w14:paraId="565FF944">
      <w:pPr>
        <w:spacing w:line="276" w:lineRule="auto"/>
        <w:jc w:val="both"/>
        <w:rPr>
          <w:rFonts w:ascii="Times New Roman" w:hAnsi="Times New Roman" w:cs="Times New Roman"/>
          <w:b/>
        </w:rPr>
      </w:pPr>
      <w:r>
        <w:rPr>
          <w:rFonts w:ascii="Times New Roman" w:hAnsi="Times New Roman" w:cs="Times New Roman"/>
          <w:b/>
        </w:rPr>
        <w:t>Level 2: PIUs level</w:t>
      </w:r>
    </w:p>
    <w:p w14:paraId="5ECE0D86">
      <w:pPr>
        <w:spacing w:line="276" w:lineRule="auto"/>
        <w:jc w:val="both"/>
        <w:rPr>
          <w:rFonts w:ascii="Times New Roman" w:hAnsi="Times New Roman" w:cs="Times New Roman"/>
        </w:rPr>
      </w:pPr>
      <w:sdt>
        <w:sdtPr>
          <w:rPr>
            <w:rFonts w:ascii="Times New Roman" w:hAnsi="Times New Roman" w:cs="Times New Roman"/>
          </w:rPr>
          <w:tag w:val="goog_rdk_45"/>
          <w:id w:val="-782413527"/>
        </w:sdtPr>
        <w:sdtEndPr>
          <w:rPr>
            <w:rFonts w:ascii="Times New Roman" w:hAnsi="Times New Roman" w:cs="Times New Roman"/>
          </w:rPr>
        </w:sdtEndPr>
        <w:sdtContent/>
      </w:sdt>
      <w:r>
        <w:rPr>
          <w:rFonts w:ascii="Times New Roman" w:hAnsi="Times New Roman" w:cs="Times New Roman"/>
        </w:rPr>
        <w:t>From the MCS following channels are available for submitting compliance:</w:t>
      </w:r>
    </w:p>
    <w:p w14:paraId="52177E90">
      <w:pPr>
        <w:spacing w:line="276" w:lineRule="auto"/>
        <w:jc w:val="both"/>
        <w:rPr>
          <w:rFonts w:ascii="Times New Roman" w:hAnsi="Times New Roman" w:cs="Times New Roman"/>
        </w:rPr>
      </w:pPr>
      <w:sdt>
        <w:sdtPr>
          <w:rPr>
            <w:rFonts w:ascii="Times New Roman" w:hAnsi="Times New Roman" w:cs="Times New Roman"/>
          </w:rPr>
          <w:tag w:val="goog_rdk_46"/>
          <w:id w:val="1565686357"/>
        </w:sdtPr>
        <w:sdtEndPr>
          <w:rPr>
            <w:rFonts w:ascii="Times New Roman" w:hAnsi="Times New Roman" w:cs="Times New Roman"/>
          </w:rPr>
        </w:sdtEndPr>
        <w:sdtContent>
          <w:r>
            <w:rPr>
              <w:rFonts w:ascii="Times New Roman" w:hAnsi="Times New Roman" w:cs="Times New Roman"/>
            </w:rPr>
            <w:t xml:space="preserve">            Table 1</w:t>
          </w:r>
        </w:sdtContent>
      </w:sdt>
    </w:p>
    <w:p w14:paraId="6A5F3B0B">
      <w:pPr>
        <w:spacing w:line="276" w:lineRule="auto"/>
        <w:jc w:val="both"/>
        <w:rPr>
          <w:rFonts w:ascii="Times New Roman" w:hAnsi="Times New Roman" w:cs="Times New Roman"/>
          <w:i/>
        </w:rPr>
      </w:pPr>
    </w:p>
    <w:tbl>
      <w:tblPr>
        <w:tblStyle w:val="12"/>
        <w:tblW w:w="90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964"/>
        <w:gridCol w:w="5103"/>
      </w:tblGrid>
      <w:tr w14:paraId="6836F9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blHeader/>
        </w:trPr>
        <w:tc>
          <w:tcPr>
            <w:tcW w:w="3964" w:type="dxa"/>
            <w:shd w:val="clear" w:color="auto" w:fill="DDE6F7"/>
          </w:tcPr>
          <w:p w14:paraId="626901F1">
            <w:pPr>
              <w:spacing w:line="276" w:lineRule="auto"/>
              <w:jc w:val="both"/>
              <w:rPr>
                <w:rFonts w:ascii="Times New Roman" w:hAnsi="Times New Roman" w:cs="Times New Roman"/>
              </w:rPr>
            </w:pPr>
          </w:p>
        </w:tc>
        <w:tc>
          <w:tcPr>
            <w:tcW w:w="5103" w:type="dxa"/>
            <w:shd w:val="clear" w:color="auto" w:fill="DDE6F7"/>
          </w:tcPr>
          <w:p w14:paraId="717C586F">
            <w:pPr>
              <w:widowControl w:val="0"/>
              <w:pBdr>
                <w:top w:val="none" w:color="auto" w:sz="0" w:space="0"/>
                <w:left w:val="none" w:color="auto" w:sz="0" w:space="0"/>
                <w:bottom w:val="none" w:color="auto" w:sz="0" w:space="0"/>
                <w:right w:val="none" w:color="auto" w:sz="0" w:space="0"/>
                <w:between w:val="none" w:color="auto" w:sz="0" w:space="0"/>
              </w:pBdr>
              <w:spacing w:line="276" w:lineRule="auto"/>
              <w:rPr>
                <w:rFonts w:ascii="Times New Roman" w:hAnsi="Times New Roman" w:cs="Times New Roman"/>
                <w:color w:val="000000"/>
              </w:rPr>
            </w:pPr>
            <w:r>
              <w:rPr>
                <w:rFonts w:ascii="Times New Roman" w:hAnsi="Times New Roman" w:cs="Times New Roman"/>
                <w:color w:val="000000"/>
              </w:rPr>
              <w:t xml:space="preserve">Custom Service of Moldova: </w:t>
            </w:r>
          </w:p>
          <w:p w14:paraId="4A598B04">
            <w:pPr>
              <w:spacing w:line="276" w:lineRule="auto"/>
              <w:rPr>
                <w:rFonts w:ascii="Times New Roman" w:hAnsi="Times New Roman" w:cs="Times New Roman"/>
              </w:rPr>
            </w:pPr>
          </w:p>
        </w:tc>
      </w:tr>
      <w:tr w14:paraId="40F9A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7" w:hRule="atLeast"/>
        </w:trPr>
        <w:tc>
          <w:tcPr>
            <w:tcW w:w="3964" w:type="dxa"/>
          </w:tcPr>
          <w:p w14:paraId="200DEC81">
            <w:pPr>
              <w:spacing w:line="276" w:lineRule="auto"/>
              <w:jc w:val="both"/>
              <w:rPr>
                <w:rFonts w:ascii="Times New Roman" w:hAnsi="Times New Roman" w:cs="Times New Roman"/>
              </w:rPr>
            </w:pPr>
            <w:r>
              <w:rPr>
                <w:rFonts w:ascii="Times New Roman" w:hAnsi="Times New Roman" w:cs="Times New Roman"/>
              </w:rPr>
              <w:t xml:space="preserve">By Email:  </w:t>
            </w:r>
          </w:p>
        </w:tc>
        <w:tc>
          <w:tcPr>
            <w:tcW w:w="5103" w:type="dxa"/>
          </w:tcPr>
          <w:p w14:paraId="5136DE43">
            <w:pPr>
              <w:spacing w:line="276" w:lineRule="auto"/>
              <w:rPr>
                <w:rFonts w:ascii="Times New Roman" w:hAnsi="Times New Roman" w:cs="Times New Roman"/>
              </w:rPr>
            </w:pPr>
            <w:r>
              <w:fldChar w:fldCharType="begin"/>
            </w:r>
            <w:r>
              <w:instrText xml:space="preserve"> HYPERLINK "mailto:callcenter@customs.gov.md" \h </w:instrText>
            </w:r>
            <w:r>
              <w:fldChar w:fldCharType="separate"/>
            </w:r>
            <w:r>
              <w:rPr>
                <w:rFonts w:ascii="Times New Roman" w:hAnsi="Times New Roman" w:cs="Times New Roman"/>
                <w:color w:val="006699"/>
                <w:u w:val="single"/>
              </w:rPr>
              <w:t>callcenter@customs.gov.md</w:t>
            </w:r>
            <w:r>
              <w:rPr>
                <w:rFonts w:ascii="Times New Roman" w:hAnsi="Times New Roman" w:cs="Times New Roman"/>
                <w:color w:val="006699"/>
                <w:u w:val="single"/>
              </w:rPr>
              <w:fldChar w:fldCharType="end"/>
            </w:r>
          </w:p>
        </w:tc>
      </w:tr>
      <w:tr w14:paraId="4ACCB0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43DD0E5A">
            <w:pPr>
              <w:spacing w:line="276" w:lineRule="auto"/>
              <w:jc w:val="both"/>
              <w:rPr>
                <w:rFonts w:ascii="Times New Roman" w:hAnsi="Times New Roman" w:cs="Times New Roman"/>
              </w:rPr>
            </w:pPr>
            <w:r>
              <w:rPr>
                <w:rFonts w:ascii="Times New Roman" w:hAnsi="Times New Roman" w:cs="Times New Roman"/>
              </w:rPr>
              <w:t>Web page:</w:t>
            </w:r>
          </w:p>
        </w:tc>
        <w:tc>
          <w:tcPr>
            <w:tcW w:w="5103" w:type="dxa"/>
          </w:tcPr>
          <w:p w14:paraId="127C6F76">
            <w:pPr>
              <w:spacing w:line="276" w:lineRule="auto"/>
              <w:rPr>
                <w:rFonts w:ascii="Times New Roman" w:hAnsi="Times New Roman" w:cs="Times New Roman"/>
              </w:rPr>
            </w:pPr>
            <w:r>
              <w:fldChar w:fldCharType="begin"/>
            </w:r>
            <w:r>
              <w:instrText xml:space="preserve"> HYPERLINK "http://www.customs.gov.md" \h </w:instrText>
            </w:r>
            <w:r>
              <w:fldChar w:fldCharType="separate"/>
            </w:r>
            <w:r>
              <w:rPr>
                <w:rFonts w:ascii="Times New Roman" w:hAnsi="Times New Roman" w:cs="Times New Roman"/>
                <w:color w:val="006699"/>
                <w:u w:val="single"/>
              </w:rPr>
              <w:t>www.customs.gov.md</w:t>
            </w:r>
            <w:r>
              <w:rPr>
                <w:rFonts w:ascii="Times New Roman" w:hAnsi="Times New Roman" w:cs="Times New Roman"/>
                <w:color w:val="006699"/>
                <w:u w:val="single"/>
              </w:rPr>
              <w:fldChar w:fldCharType="end"/>
            </w:r>
          </w:p>
        </w:tc>
      </w:tr>
      <w:tr w14:paraId="77B4D8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5" w:hRule="atLeast"/>
        </w:trPr>
        <w:tc>
          <w:tcPr>
            <w:tcW w:w="3964" w:type="dxa"/>
          </w:tcPr>
          <w:p w14:paraId="29980B2E">
            <w:pPr>
              <w:spacing w:line="276" w:lineRule="auto"/>
              <w:jc w:val="both"/>
              <w:rPr>
                <w:rFonts w:ascii="Times New Roman" w:hAnsi="Times New Roman" w:cs="Times New Roman"/>
              </w:rPr>
            </w:pPr>
            <w:r>
              <w:rPr>
                <w:rFonts w:ascii="Times New Roman" w:hAnsi="Times New Roman" w:cs="Times New Roman"/>
              </w:rPr>
              <w:t>In writing:</w:t>
            </w:r>
          </w:p>
        </w:tc>
        <w:tc>
          <w:tcPr>
            <w:tcW w:w="5103" w:type="dxa"/>
          </w:tcPr>
          <w:p w14:paraId="48F19A2F">
            <w:pPr>
              <w:spacing w:line="276" w:lineRule="auto"/>
              <w:rPr>
                <w:rFonts w:ascii="Times New Roman" w:hAnsi="Times New Roman" w:cs="Times New Roman"/>
              </w:rPr>
            </w:pPr>
            <w:r>
              <w:rPr>
                <w:rFonts w:ascii="Times New Roman" w:hAnsi="Times New Roman" w:cs="Times New Roman"/>
                <w:color w:val="112444"/>
                <w:highlight w:val="white"/>
              </w:rPr>
              <w:t>30, Nicolae Starostenco Str, Chisinau, MD-2065</w:t>
            </w:r>
          </w:p>
        </w:tc>
      </w:tr>
      <w:tr w14:paraId="00EFEA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6FF33D2F">
            <w:pPr>
              <w:spacing w:line="276" w:lineRule="auto"/>
              <w:jc w:val="both"/>
              <w:rPr>
                <w:rFonts w:ascii="Times New Roman" w:hAnsi="Times New Roman" w:cs="Times New Roman"/>
              </w:rPr>
            </w:pPr>
            <w:r>
              <w:rPr>
                <w:rFonts w:ascii="Times New Roman" w:hAnsi="Times New Roman" w:cs="Times New Roman"/>
              </w:rPr>
              <w:t>Social Media:</w:t>
            </w:r>
          </w:p>
        </w:tc>
        <w:tc>
          <w:tcPr>
            <w:tcW w:w="5103" w:type="dxa"/>
          </w:tcPr>
          <w:p w14:paraId="617F37B9">
            <w:pPr>
              <w:widowControl w:val="0"/>
              <w:pBdr>
                <w:top w:val="none" w:color="auto" w:sz="0" w:space="0"/>
                <w:left w:val="none" w:color="auto" w:sz="0" w:space="0"/>
                <w:bottom w:val="none" w:color="auto" w:sz="0" w:space="0"/>
                <w:right w:val="none" w:color="auto" w:sz="0" w:space="0"/>
                <w:between w:val="none" w:color="auto" w:sz="0" w:space="0"/>
              </w:pBdr>
              <w:spacing w:line="276" w:lineRule="auto"/>
              <w:rPr>
                <w:rFonts w:ascii="Times New Roman" w:hAnsi="Times New Roman" w:cs="Times New Roman"/>
                <w:color w:val="000000"/>
              </w:rPr>
            </w:pPr>
            <w:r>
              <w:fldChar w:fldCharType="begin"/>
            </w:r>
            <w:r>
              <w:instrText xml:space="preserve"> HYPERLINK "https://www.facebook.com/ServiciulVamalRM" \h </w:instrText>
            </w:r>
            <w:r>
              <w:fldChar w:fldCharType="separate"/>
            </w:r>
            <w:r>
              <w:rPr>
                <w:rFonts w:ascii="Times New Roman" w:hAnsi="Times New Roman" w:cs="Times New Roman"/>
                <w:color w:val="006699"/>
                <w:u w:val="single"/>
              </w:rPr>
              <w:t>https://www.facebook.com/ServiciulVamalRM</w:t>
            </w:r>
            <w:r>
              <w:rPr>
                <w:rFonts w:ascii="Times New Roman" w:hAnsi="Times New Roman" w:cs="Times New Roman"/>
                <w:color w:val="006699"/>
                <w:u w:val="single"/>
              </w:rPr>
              <w:fldChar w:fldCharType="end"/>
            </w:r>
            <w:r>
              <w:rPr>
                <w:rFonts w:ascii="Times New Roman" w:hAnsi="Times New Roman" w:cs="Times New Roman"/>
                <w:color w:val="000000"/>
              </w:rPr>
              <w:t xml:space="preserve">, </w:t>
            </w:r>
          </w:p>
          <w:p w14:paraId="68899397">
            <w:pPr>
              <w:widowControl w:val="0"/>
              <w:pBdr>
                <w:top w:val="none" w:color="auto" w:sz="0" w:space="0"/>
                <w:left w:val="none" w:color="auto" w:sz="0" w:space="0"/>
                <w:bottom w:val="none" w:color="auto" w:sz="0" w:space="0"/>
                <w:right w:val="none" w:color="auto" w:sz="0" w:space="0"/>
                <w:between w:val="none" w:color="auto" w:sz="0" w:space="0"/>
              </w:pBdr>
              <w:spacing w:line="276" w:lineRule="auto"/>
              <w:rPr>
                <w:rFonts w:ascii="Times New Roman" w:hAnsi="Times New Roman" w:eastAsia="Arial" w:cs="Times New Roman"/>
                <w:color w:val="000000"/>
              </w:rPr>
            </w:pPr>
            <w:r>
              <w:fldChar w:fldCharType="begin"/>
            </w:r>
            <w:r>
              <w:instrText xml:space="preserve"> HYPERLINK "https://t.me/s/ServiciulVamalRM" \h </w:instrText>
            </w:r>
            <w:r>
              <w:fldChar w:fldCharType="separate"/>
            </w:r>
            <w:r>
              <w:rPr>
                <w:rFonts w:ascii="Times New Roman" w:hAnsi="Times New Roman" w:cs="Times New Roman"/>
                <w:color w:val="006699"/>
                <w:u w:val="single"/>
              </w:rPr>
              <w:t>https://t.me/s/ServiciulVamalRM</w:t>
            </w:r>
            <w:r>
              <w:rPr>
                <w:rFonts w:ascii="Times New Roman" w:hAnsi="Times New Roman" w:cs="Times New Roman"/>
                <w:color w:val="006699"/>
                <w:u w:val="single"/>
              </w:rPr>
              <w:fldChar w:fldCharType="end"/>
            </w:r>
          </w:p>
        </w:tc>
      </w:tr>
      <w:tr w14:paraId="22C667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trPr>
        <w:tc>
          <w:tcPr>
            <w:tcW w:w="3964" w:type="dxa"/>
          </w:tcPr>
          <w:p w14:paraId="0F028C35">
            <w:pPr>
              <w:spacing w:line="276" w:lineRule="auto"/>
              <w:jc w:val="both"/>
              <w:rPr>
                <w:rFonts w:ascii="Times New Roman" w:hAnsi="Times New Roman" w:cs="Times New Roman"/>
              </w:rPr>
            </w:pPr>
            <w:r>
              <w:rPr>
                <w:rFonts w:ascii="Times New Roman" w:hAnsi="Times New Roman" w:cs="Times New Roman"/>
              </w:rPr>
              <w:t>Phones:</w:t>
            </w:r>
          </w:p>
        </w:tc>
        <w:tc>
          <w:tcPr>
            <w:tcW w:w="5103" w:type="dxa"/>
          </w:tcPr>
          <w:p w14:paraId="6FC990D6">
            <w:pPr>
              <w:spacing w:line="276" w:lineRule="auto"/>
              <w:rPr>
                <w:rFonts w:ascii="Times New Roman" w:hAnsi="Times New Roman" w:cs="Times New Roman"/>
              </w:rPr>
            </w:pPr>
            <w:r>
              <w:rPr>
                <w:rFonts w:ascii="Times New Roman" w:hAnsi="Times New Roman" w:cs="Times New Roman"/>
              </w:rPr>
              <w:t>+373 22 574 182 / 574 133</w:t>
            </w:r>
          </w:p>
        </w:tc>
      </w:tr>
      <w:tr w14:paraId="64423A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3075D974">
            <w:pPr>
              <w:spacing w:line="276" w:lineRule="auto"/>
              <w:jc w:val="both"/>
              <w:rPr>
                <w:rFonts w:ascii="Times New Roman" w:hAnsi="Times New Roman" w:cs="Times New Roman"/>
              </w:rPr>
            </w:pPr>
            <w:r>
              <w:rPr>
                <w:rFonts w:ascii="Times New Roman" w:hAnsi="Times New Roman" w:cs="Times New Roman"/>
              </w:rPr>
              <w:t>Call center  24/24</w:t>
            </w:r>
          </w:p>
        </w:tc>
        <w:tc>
          <w:tcPr>
            <w:tcW w:w="5103" w:type="dxa"/>
          </w:tcPr>
          <w:p w14:paraId="342400DF">
            <w:pPr>
              <w:spacing w:line="276" w:lineRule="auto"/>
              <w:rPr>
                <w:rFonts w:ascii="Times New Roman" w:hAnsi="Times New Roman" w:cs="Times New Roman"/>
              </w:rPr>
            </w:pPr>
            <w:r>
              <w:rPr>
                <w:rFonts w:ascii="Times New Roman" w:hAnsi="Times New Roman" w:cs="Times New Roman"/>
              </w:rPr>
              <w:t>+373 22 78-88-88</w:t>
            </w:r>
          </w:p>
        </w:tc>
      </w:tr>
      <w:tr w14:paraId="486648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5BD14274">
            <w:pPr>
              <w:spacing w:line="276" w:lineRule="auto"/>
              <w:jc w:val="both"/>
              <w:rPr>
                <w:rFonts w:ascii="Times New Roman" w:hAnsi="Times New Roman" w:cs="Times New Roman"/>
              </w:rPr>
            </w:pPr>
            <w:r>
              <w:rPr>
                <w:rFonts w:ascii="Times New Roman" w:hAnsi="Times New Roman" w:cs="Times New Roman"/>
              </w:rPr>
              <w:t xml:space="preserve">Specialized anti-corruption line </w:t>
            </w:r>
          </w:p>
        </w:tc>
        <w:tc>
          <w:tcPr>
            <w:tcW w:w="5103" w:type="dxa"/>
          </w:tcPr>
          <w:p w14:paraId="05EF4CE9">
            <w:pPr>
              <w:spacing w:line="276" w:lineRule="auto"/>
              <w:rPr>
                <w:rFonts w:ascii="Times New Roman" w:hAnsi="Times New Roman" w:cs="Times New Roman"/>
                <w:b/>
              </w:rPr>
            </w:pPr>
            <w:r>
              <w:rPr>
                <w:rFonts w:ascii="Times New Roman" w:hAnsi="Times New Roman" w:cs="Times New Roman"/>
              </w:rPr>
              <w:t>+373 22 78-88-88</w:t>
            </w:r>
          </w:p>
        </w:tc>
      </w:tr>
      <w:tr w14:paraId="6878CC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964" w:type="dxa"/>
          </w:tcPr>
          <w:p w14:paraId="16EFD07E">
            <w:pPr>
              <w:spacing w:line="276" w:lineRule="auto"/>
              <w:jc w:val="both"/>
              <w:rPr>
                <w:rFonts w:ascii="Times New Roman" w:hAnsi="Times New Roman" w:cs="Times New Roman"/>
              </w:rPr>
            </w:pPr>
            <w:r>
              <w:rPr>
                <w:rFonts w:ascii="Times New Roman" w:hAnsi="Times New Roman" w:cs="Times New Roman"/>
              </w:rPr>
              <w:t>The One Stop Call Center</w:t>
            </w:r>
          </w:p>
        </w:tc>
        <w:tc>
          <w:tcPr>
            <w:tcW w:w="5103" w:type="dxa"/>
          </w:tcPr>
          <w:p w14:paraId="091E3F8D">
            <w:pPr>
              <w:spacing w:line="276" w:lineRule="auto"/>
              <w:rPr>
                <w:rFonts w:ascii="Times New Roman" w:hAnsi="Times New Roman" w:cs="Times New Roman"/>
              </w:rPr>
            </w:pPr>
            <w:r>
              <w:rPr>
                <w:rFonts w:ascii="Times New Roman" w:hAnsi="Times New Roman" w:cs="Times New Roman"/>
              </w:rPr>
              <w:t xml:space="preserve">tel: +373 22 78 88 88, callcenter@customs.gov.md  and </w:t>
            </w:r>
            <w:r>
              <w:fldChar w:fldCharType="begin"/>
            </w:r>
            <w:r>
              <w:instrText xml:space="preserve"> HYPERLINK "mailto:vama@customs.gov.md" \h </w:instrText>
            </w:r>
            <w:r>
              <w:fldChar w:fldCharType="separate"/>
            </w:r>
            <w:r>
              <w:rPr>
                <w:rFonts w:ascii="Times New Roman" w:hAnsi="Times New Roman" w:cs="Times New Roman"/>
              </w:rPr>
              <w:t>vama@customs.gov.md</w:t>
            </w:r>
            <w:r>
              <w:rPr>
                <w:rFonts w:ascii="Times New Roman" w:hAnsi="Times New Roman" w:cs="Times New Roman"/>
              </w:rPr>
              <w:fldChar w:fldCharType="end"/>
            </w:r>
            <w:r>
              <w:rPr>
                <w:rFonts w:ascii="Times New Roman" w:hAnsi="Times New Roman" w:cs="Times New Roman"/>
              </w:rPr>
              <w:t>(24/24)</w:t>
            </w:r>
          </w:p>
        </w:tc>
      </w:tr>
    </w:tbl>
    <w:sdt>
      <w:sdtPr>
        <w:rPr>
          <w:rFonts w:ascii="Times New Roman" w:hAnsi="Times New Roman" w:cs="Times New Roman"/>
        </w:rPr>
        <w:tag w:val="goog_rdk_51"/>
        <w:id w:val="1134213907"/>
      </w:sdtPr>
      <w:sdtEndPr>
        <w:rPr>
          <w:rFonts w:ascii="Times New Roman" w:hAnsi="Times New Roman" w:cs="Times New Roman"/>
        </w:rPr>
      </w:sdtEndPr>
      <w:sdtContent>
        <w:p w14:paraId="4A3FED05">
          <w:pPr>
            <w:spacing w:line="308" w:lineRule="auto"/>
            <w:jc w:val="both"/>
            <w:rPr>
              <w:rFonts w:ascii="Times New Roman" w:hAnsi="Times New Roman" w:cs="Times New Roman"/>
              <w:b/>
              <w:highlight w:val="cyan"/>
            </w:rPr>
          </w:pPr>
          <w:sdt>
            <w:sdtPr>
              <w:rPr>
                <w:rFonts w:ascii="Times New Roman" w:hAnsi="Times New Roman" w:cs="Times New Roman"/>
              </w:rPr>
              <w:tag w:val="goog_rdk_50"/>
              <w:id w:val="-1302924267"/>
              <w:showingPlcHdr/>
            </w:sdtPr>
            <w:sdtEndPr>
              <w:rPr>
                <w:rFonts w:ascii="Times New Roman" w:hAnsi="Times New Roman" w:cs="Times New Roman"/>
              </w:rPr>
            </w:sdtEndPr>
            <w:sdtContent>
              <w:r>
                <w:rPr>
                  <w:rFonts w:ascii="Times New Roman" w:hAnsi="Times New Roman" w:cs="Times New Roman"/>
                </w:rPr>
                <w:t xml:space="preserve">     </w:t>
              </w:r>
            </w:sdtContent>
          </w:sdt>
        </w:p>
      </w:sdtContent>
    </w:sdt>
    <w:p w14:paraId="1174C28B">
      <w:pPr>
        <w:spacing w:line="308" w:lineRule="auto"/>
        <w:jc w:val="both"/>
        <w:rPr>
          <w:rFonts w:ascii="Times New Roman" w:hAnsi="Times New Roman" w:cs="Times New Roman"/>
          <w:color w:val="000000"/>
        </w:rPr>
      </w:pPr>
      <w:r>
        <w:rPr>
          <w:rFonts w:ascii="Times New Roman" w:hAnsi="Times New Roman" w:cs="Times New Roman"/>
          <w:color w:val="000000"/>
        </w:rPr>
        <w:t xml:space="preserve">PIUs, consultants, contractors and sub-contractors ensure dissemination of information about the Project including GRM channels and SEA/SH-sensitive GMs channels to all workers and the local population through consultations, awareness raising events and information materials posted at the accessible for stakeholders’ places (for example project cite bords, websites, LPAs premises etc.). The information regarding the reporting procedures will be posted in electronic windows of the project, which will be created on the official website of the Customs Service, regarding the implementation of the project.     </w:t>
      </w:r>
    </w:p>
    <w:p w14:paraId="47580D49">
      <w:pPr>
        <w:spacing w:line="308" w:lineRule="auto"/>
        <w:jc w:val="both"/>
        <w:rPr>
          <w:rFonts w:ascii="Times New Roman" w:hAnsi="Times New Roman" w:cs="Times New Roman"/>
          <w:b/>
          <w:color w:val="000000"/>
        </w:rPr>
      </w:pPr>
    </w:p>
    <w:p w14:paraId="18028B9A">
      <w:pPr>
        <w:spacing w:line="308" w:lineRule="auto"/>
        <w:jc w:val="both"/>
        <w:rPr>
          <w:rFonts w:ascii="Times New Roman" w:hAnsi="Times New Roman" w:cs="Times New Roman"/>
          <w:b/>
          <w:color w:val="000000"/>
        </w:rPr>
      </w:pPr>
      <w:r>
        <w:rPr>
          <w:rFonts w:ascii="Times New Roman" w:hAnsi="Times New Roman" w:cs="Times New Roman"/>
          <w:b/>
          <w:color w:val="000000"/>
        </w:rPr>
        <w:t>Confidentiality and conflict of interest</w:t>
      </w:r>
    </w:p>
    <w:p w14:paraId="3AAE1C15">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rPr>
          <w:rFonts w:ascii="Times New Roman" w:hAnsi="Times New Roman" w:cs="Times New Roman"/>
          <w:color w:val="000000"/>
        </w:rPr>
        <w:t>Confidentiality will be ensured in all instances, including when the person making the complaint is known. For this reason, multiple channels to make a complaint have been established and conflicts of interest will be avoided.</w:t>
      </w:r>
    </w:p>
    <w:p w14:paraId="4FD81B65">
      <w:pPr>
        <w:spacing w:line="276" w:lineRule="auto"/>
        <w:jc w:val="both"/>
        <w:rPr>
          <w:rFonts w:ascii="Times New Roman" w:hAnsi="Times New Roman" w:cs="Times New Roman"/>
        </w:rPr>
      </w:pPr>
      <w:r>
        <w:rPr>
          <w:rFonts w:ascii="Times New Roman" w:hAnsi="Times New Roman" w:cs="Times New Roman"/>
        </w:rPr>
        <w:t>The project is committed to safeguarding complainants against retaliation or discrimination for filing grievances.</w:t>
      </w:r>
    </w:p>
    <w:p w14:paraId="436AA57F">
      <w:pPr>
        <w:spacing w:line="308" w:lineRule="auto"/>
        <w:jc w:val="both"/>
        <w:rPr>
          <w:rFonts w:ascii="Times New Roman" w:hAnsi="Times New Roman" w:cs="Times New Roman"/>
          <w:b/>
          <w:color w:val="000000"/>
        </w:rPr>
      </w:pPr>
      <w:bookmarkStart w:id="6" w:name="_heading=h.30j0zll" w:colFirst="0" w:colLast="0"/>
      <w:bookmarkEnd w:id="6"/>
      <w:bookmarkStart w:id="7" w:name="_Toc184883428"/>
      <w:r>
        <w:rPr>
          <w:rFonts w:ascii="Times New Roman" w:hAnsi="Times New Roman" w:cs="Times New Roman"/>
          <w:b/>
          <w:color w:val="000000"/>
        </w:rPr>
        <w:t>Grievance Investigation and Resolution Process</w:t>
      </w:r>
      <w:bookmarkEnd w:id="7"/>
    </w:p>
    <w:p w14:paraId="73BD005B">
      <w:pPr>
        <w:spacing w:line="276" w:lineRule="auto"/>
        <w:jc w:val="both"/>
        <w:rPr>
          <w:rFonts w:ascii="Times New Roman" w:hAnsi="Times New Roman" w:cs="Times New Roman"/>
        </w:rPr>
      </w:pPr>
      <w:r>
        <w:rPr>
          <w:rFonts w:ascii="Times New Roman" w:hAnsi="Times New Roman" w:cs="Times New Roman"/>
        </w:rPr>
        <w:t>The GRM is designed to ensure that complaints and concerns from project-affected parties are handled in a fair, transparent, and timely manner. The process consists of the following key steps:</w:t>
      </w:r>
    </w:p>
    <w:p w14:paraId="5746DD0C">
      <w:pPr>
        <w:numPr>
          <w:ilvl w:val="3"/>
          <w:numId w:val="0"/>
        </w:numPr>
        <w:pBdr>
          <w:top w:val="none" w:color="auto" w:sz="0" w:space="0"/>
          <w:left w:val="none" w:color="auto" w:sz="0" w:space="0"/>
          <w:bottom w:val="none" w:color="auto" w:sz="0" w:space="0"/>
          <w:right w:val="none" w:color="auto" w:sz="0" w:space="0"/>
          <w:between w:val="none" w:color="auto" w:sz="0" w:space="0"/>
        </w:pBdr>
        <w:spacing w:line="276" w:lineRule="auto"/>
        <w:ind w:left="2880" w:hanging="360"/>
        <w:jc w:val="both"/>
        <w:rPr>
          <w:rFonts w:ascii="Times New Roman" w:hAnsi="Times New Roman" w:cs="Times New Roman"/>
          <w:b/>
          <w:color w:val="000000"/>
        </w:rPr>
      </w:pPr>
      <w:r>
        <w:rPr>
          <w:rFonts w:ascii="Times New Roman" w:hAnsi="Times New Roman" w:cs="Times New Roman"/>
          <w:b/>
          <w:color w:val="000000"/>
        </w:rPr>
        <w:t>Acknowledgement step</w:t>
      </w:r>
    </w:p>
    <w:p w14:paraId="549AF198">
      <w:pPr>
        <w:rPr>
          <w:rFonts w:ascii="Times New Roman" w:hAnsi="Times New Roman" w:cs="Times New Roman"/>
          <w:b/>
        </w:rPr>
      </w:pPr>
    </w:p>
    <w:p w14:paraId="5733450F">
      <w:pPr>
        <w:rPr>
          <w:rFonts w:ascii="Times New Roman" w:hAnsi="Times New Roman" w:cs="Times New Roman"/>
        </w:rPr>
      </w:pPr>
      <w:sdt>
        <w:sdtPr>
          <w:rPr>
            <w:rFonts w:ascii="Times New Roman" w:hAnsi="Times New Roman" w:cs="Times New Roman"/>
          </w:rPr>
          <w:tag w:val="goog_rdk_52"/>
          <w:id w:val="537165431"/>
        </w:sdtPr>
        <w:sdtEndPr>
          <w:rPr>
            <w:rFonts w:ascii="Times New Roman" w:hAnsi="Times New Roman" w:cs="Times New Roman"/>
          </w:rPr>
        </w:sdtEndPr>
        <w:sdtContent/>
      </w:sdt>
      <w:r>
        <w:rPr>
          <w:rFonts w:ascii="Times New Roman" w:hAnsi="Times New Roman" w:cs="Times New Roman"/>
        </w:rPr>
        <w:t>Upon receiving any grievance the MCS GRM Focal Points will acknowledge the complaint in a timely manner.  The complainant will be provided with a grievance reference number, which will be recorded in the Grievance Log. The respective focal points will also inform the complainant of the contact details of the person responsible for tracking the grievance and provide relevant information regarding the grievance resolution process.</w:t>
      </w:r>
    </w:p>
    <w:p w14:paraId="64ED3F6B">
      <w:pPr>
        <w:rPr>
          <w:rFonts w:ascii="Times New Roman" w:hAnsi="Times New Roman" w:cs="Times New Roman"/>
        </w:rPr>
      </w:pPr>
    </w:p>
    <w:p w14:paraId="7CA6C615">
      <w:pPr>
        <w:jc w:val="both"/>
        <w:rPr>
          <w:rFonts w:ascii="Times New Roman" w:hAnsi="Times New Roman" w:cs="Times New Roman"/>
        </w:rPr>
      </w:pPr>
      <w:r>
        <w:rPr>
          <w:rFonts w:ascii="Times New Roman" w:hAnsi="Times New Roman" w:cs="Times New Roman"/>
        </w:rPr>
        <w:t xml:space="preserve">If complaints are submitted directly to the Construction contractor, Supervision Engineer or SIMC, they will take immediate action for resolution of grievance and will inform the contracting authorities about the complaint received, as well as about the actions taken. The authorities will be notified according to the activities concerned, </w:t>
      </w:r>
    </w:p>
    <w:p w14:paraId="250A0825">
      <w:pPr>
        <w:jc w:val="both"/>
        <w:rPr>
          <w:rFonts w:ascii="Times New Roman" w:hAnsi="Times New Roman" w:cs="Times New Roman"/>
          <w:highlight w:val="cyan"/>
        </w:rPr>
      </w:pPr>
    </w:p>
    <w:p w14:paraId="0CE7384E">
      <w:pPr>
        <w:jc w:val="both"/>
        <w:rPr>
          <w:rFonts w:ascii="Times New Roman" w:hAnsi="Times New Roman" w:cs="Times New Roman"/>
        </w:rPr>
      </w:pPr>
      <w:r>
        <w:rPr>
          <w:rFonts w:ascii="Times New Roman" w:hAnsi="Times New Roman" w:cs="Times New Roman"/>
        </w:rPr>
        <w:t>Complaints can be submitted through various channels such as email, phone, in person, Upon receiving a complaint, the contractor acknowledges it within a specified timeframe (e.g., 24-48 hours) and provides the complainant with a reference number. The complaint is logged into a grievance register. The contractor, Supervision Engineer or SIMC, assesses the severity and nature of the complaint to determine if it can be resolved internally or requires external intervention. The contractor, Supervision Engineer or SIMC, propose a solution to address the grievance.  The complainant is informed of the resolution and any actions taken, including timelines for implementation. The contractor, Supervision Engineer or SIMC, ensure that the resolution is properly implemented and monitors whether the issue is effectively addressed, preventing recurrence.</w:t>
      </w:r>
    </w:p>
    <w:p w14:paraId="1D67B90B">
      <w:pPr>
        <w:rPr>
          <w:rFonts w:ascii="Times New Roman" w:hAnsi="Times New Roman" w:cs="Times New Roman"/>
          <w:b/>
        </w:rPr>
      </w:pPr>
    </w:p>
    <w:p w14:paraId="2F329105">
      <w:pPr>
        <w:numPr>
          <w:ilvl w:val="3"/>
          <w:numId w:val="0"/>
        </w:numPr>
        <w:pBdr>
          <w:top w:val="none" w:color="auto" w:sz="0" w:space="0"/>
          <w:left w:val="none" w:color="auto" w:sz="0" w:space="0"/>
          <w:bottom w:val="none" w:color="auto" w:sz="0" w:space="0"/>
          <w:right w:val="none" w:color="auto" w:sz="0" w:space="0"/>
          <w:between w:val="none" w:color="auto" w:sz="0" w:space="0"/>
        </w:pBdr>
        <w:spacing w:line="276" w:lineRule="auto"/>
        <w:ind w:left="2880" w:hanging="360"/>
        <w:rPr>
          <w:rFonts w:ascii="Times New Roman" w:hAnsi="Times New Roman" w:cs="Times New Roman"/>
          <w:b/>
          <w:color w:val="000000"/>
        </w:rPr>
      </w:pPr>
      <w:r>
        <w:rPr>
          <w:rFonts w:ascii="Times New Roman" w:hAnsi="Times New Roman" w:cs="Times New Roman"/>
          <w:b/>
          <w:color w:val="000000"/>
        </w:rPr>
        <w:t>Sorting and Processing</w:t>
      </w:r>
    </w:p>
    <w:p w14:paraId="0656CF2A">
      <w:pPr>
        <w:jc w:val="both"/>
        <w:rPr>
          <w:rFonts w:ascii="Times New Roman" w:hAnsi="Times New Roman" w:cs="Times New Roman"/>
        </w:rPr>
      </w:pPr>
      <w:r>
        <w:rPr>
          <w:rFonts w:ascii="Times New Roman" w:hAnsi="Times New Roman" w:cs="Times New Roman"/>
        </w:rPr>
        <w:t xml:space="preserve">The Contractor is responsible for maintaining records of all complaints received at the site,  including the date and time it was received and details of the issue.  The Contractor will document all complaints and enquiries, even verbal complaints, and how resolved, in a register and will include the register in its regular progress reports to the Supervision Engineer.    The Contractor will coordinate with SIMC as needed.  </w:t>
      </w:r>
    </w:p>
    <w:p w14:paraId="4B5632DB">
      <w:pPr>
        <w:jc w:val="both"/>
        <w:rPr>
          <w:rFonts w:ascii="Times New Roman" w:hAnsi="Times New Roman" w:cs="Times New Roman"/>
        </w:rPr>
      </w:pPr>
    </w:p>
    <w:p w14:paraId="44E9E907">
      <w:pPr>
        <w:spacing w:line="276" w:lineRule="auto"/>
        <w:jc w:val="both"/>
        <w:rPr>
          <w:rFonts w:ascii="Times New Roman" w:hAnsi="Times New Roman" w:cs="Times New Roman"/>
        </w:rPr>
      </w:pPr>
      <w:r>
        <w:rPr>
          <w:rFonts w:ascii="Times New Roman" w:hAnsi="Times New Roman" w:cs="Times New Roman"/>
        </w:rPr>
        <w:t xml:space="preserve">Upon receiving a grievance at the site, issues related to construction activities that can be promptly resolved will  be resolved by the  contractor , who will investigate and determine a resolution plan to the complainants satisfaction.  The contractor will coordinate with SIMC as necessary.   The contractor and/or SIMCs will take immediate action to address the grievance and resolve the issue within </w:t>
      </w:r>
      <w:sdt>
        <w:sdtPr>
          <w:rPr>
            <w:rFonts w:ascii="Times New Roman" w:hAnsi="Times New Roman" w:cs="Times New Roman"/>
          </w:rPr>
          <w:tag w:val="goog_rdk_56"/>
          <w:id w:val="-423727297"/>
        </w:sdtPr>
        <w:sdtEndPr>
          <w:rPr>
            <w:rFonts w:ascii="Times New Roman" w:hAnsi="Times New Roman" w:cs="Times New Roman"/>
          </w:rPr>
        </w:sdtEndPr>
        <w:sdtContent/>
      </w:sdt>
      <w:sdt>
        <w:sdtPr>
          <w:rPr>
            <w:rFonts w:ascii="Times New Roman" w:hAnsi="Times New Roman" w:cs="Times New Roman"/>
          </w:rPr>
          <w:tag w:val="goog_rdk_57"/>
          <w:id w:val="298960048"/>
        </w:sdtPr>
        <w:sdtEndPr>
          <w:rPr>
            <w:rFonts w:ascii="Times New Roman" w:hAnsi="Times New Roman" w:cs="Times New Roman"/>
          </w:rPr>
        </w:sdtEndPr>
        <w:sdtContent/>
      </w:sdt>
      <w:sdt>
        <w:sdtPr>
          <w:rPr>
            <w:rFonts w:ascii="Times New Roman" w:hAnsi="Times New Roman" w:cs="Times New Roman"/>
          </w:rPr>
          <w:tag w:val="goog_rdk_58"/>
          <w:id w:val="27619793"/>
        </w:sdtPr>
        <w:sdtEndPr>
          <w:rPr>
            <w:rFonts w:ascii="Times New Roman" w:hAnsi="Times New Roman" w:cs="Times New Roman"/>
          </w:rPr>
        </w:sdtEndPr>
        <w:sdtContent/>
      </w:sdt>
      <w:r>
        <w:rPr>
          <w:rFonts w:ascii="Times New Roman" w:hAnsi="Times New Roman" w:cs="Times New Roman"/>
        </w:rPr>
        <w:t xml:space="preserve">15 days. Once the resolution is completed and accepted by the complainant, the contractor will provide a summary report of the grievance resolution to the </w:t>
      </w:r>
      <w:sdt>
        <w:sdtPr>
          <w:rPr>
            <w:rFonts w:ascii="Times New Roman" w:hAnsi="Times New Roman" w:cs="Times New Roman"/>
          </w:rPr>
          <w:tag w:val="goog_rdk_59"/>
          <w:id w:val="-43291286"/>
        </w:sdtPr>
        <w:sdtEndPr>
          <w:rPr>
            <w:rFonts w:ascii="Times New Roman" w:hAnsi="Times New Roman" w:cs="Times New Roman"/>
          </w:rPr>
        </w:sdtEndPr>
        <w:sdtContent/>
      </w:sdt>
      <w:sdt>
        <w:sdtPr>
          <w:rPr>
            <w:rFonts w:ascii="Times New Roman" w:hAnsi="Times New Roman" w:cs="Times New Roman"/>
          </w:rPr>
          <w:tag w:val="goog_rdk_60"/>
          <w:id w:val="-1019308165"/>
        </w:sdtPr>
        <w:sdtEndPr>
          <w:rPr>
            <w:rFonts w:ascii="Times New Roman" w:hAnsi="Times New Roman" w:cs="Times New Roman"/>
          </w:rPr>
        </w:sdtEndPr>
        <w:sdtContent/>
      </w:sdt>
      <w:r>
        <w:rPr>
          <w:rFonts w:ascii="Times New Roman" w:hAnsi="Times New Roman" w:cs="Times New Roman"/>
        </w:rPr>
        <w:t>MCS (to the SRA those complaints related to road infrastructure, to the MCS those related to customs infrastructure).</w:t>
      </w:r>
    </w:p>
    <w:p w14:paraId="5C9D99D7">
      <w:pPr>
        <w:jc w:val="both"/>
        <w:rPr>
          <w:rFonts w:ascii="Times New Roman" w:hAnsi="Times New Roman" w:cs="Times New Roman"/>
        </w:rPr>
      </w:pPr>
    </w:p>
    <w:p w14:paraId="2523C751">
      <w:pPr>
        <w:jc w:val="both"/>
        <w:rPr>
          <w:rFonts w:ascii="Times New Roman" w:hAnsi="Times New Roman" w:cs="Times New Roman"/>
        </w:rPr>
      </w:pPr>
      <w:r>
        <w:rPr>
          <w:rFonts w:ascii="Times New Roman" w:hAnsi="Times New Roman" w:cs="Times New Roman"/>
        </w:rPr>
        <w:t xml:space="preserve">The Supervision Engineer is responsible for handling any complaints received directly, to oversee the Contractor’s response to grievances and to coordinate with SIMC as needed.  Grievances that are related to serious adverse environmental and social impacts as per ESCP, should be reported immediately.   </w:t>
      </w:r>
    </w:p>
    <w:p w14:paraId="68A22BB7">
      <w:pPr>
        <w:spacing w:line="276" w:lineRule="auto"/>
        <w:jc w:val="both"/>
        <w:rPr>
          <w:rFonts w:ascii="Times New Roman" w:hAnsi="Times New Roman" w:cs="Times New Roman"/>
        </w:rPr>
      </w:pPr>
    </w:p>
    <w:p w14:paraId="3073FBA6">
      <w:pPr>
        <w:spacing w:line="276" w:lineRule="auto"/>
        <w:jc w:val="both"/>
        <w:rPr>
          <w:rFonts w:ascii="Times New Roman" w:hAnsi="Times New Roman" w:cs="Times New Roman"/>
        </w:rPr>
      </w:pPr>
      <w:r>
        <w:rPr>
          <w:rFonts w:ascii="Times New Roman" w:hAnsi="Times New Roman" w:cs="Times New Roman"/>
        </w:rPr>
        <w:t xml:space="preserve">SIMC will also establish procedures for documenting all complaints received, their status and the outcome.  </w:t>
      </w:r>
    </w:p>
    <w:p w14:paraId="6C89E5EB">
      <w:pPr>
        <w:spacing w:line="276" w:lineRule="auto"/>
        <w:jc w:val="both"/>
        <w:rPr>
          <w:rFonts w:ascii="Times New Roman" w:hAnsi="Times New Roman" w:cs="Times New Roman"/>
        </w:rPr>
      </w:pPr>
    </w:p>
    <w:p w14:paraId="014667AE">
      <w:pPr>
        <w:spacing w:line="276" w:lineRule="auto"/>
        <w:jc w:val="both"/>
        <w:rPr>
          <w:rFonts w:ascii="Times New Roman" w:hAnsi="Times New Roman" w:cs="Times New Roman"/>
        </w:rPr>
      </w:pPr>
      <w:r>
        <w:rPr>
          <w:rFonts w:ascii="Times New Roman" w:hAnsi="Times New Roman" w:cs="Times New Roman"/>
        </w:rPr>
        <w:t xml:space="preserve">For critical, more complex (requiring more than 15 days) or unresolved grievances at GRM Level 1, issues will be escalated to Level 2 to the PIUs. </w:t>
      </w:r>
    </w:p>
    <w:p w14:paraId="050422B4">
      <w:pPr>
        <w:spacing w:line="276" w:lineRule="auto"/>
        <w:jc w:val="both"/>
        <w:rPr>
          <w:rFonts w:ascii="Times New Roman" w:hAnsi="Times New Roman" w:cs="Times New Roman"/>
        </w:rPr>
      </w:pPr>
    </w:p>
    <w:p w14:paraId="0AB4187B">
      <w:pPr>
        <w:spacing w:line="276" w:lineRule="auto"/>
        <w:jc w:val="both"/>
        <w:rPr>
          <w:rFonts w:ascii="Times New Roman" w:hAnsi="Times New Roman" w:cs="Times New Roman"/>
          <w:i/>
          <w:iCs/>
        </w:rPr>
      </w:pPr>
      <w:r>
        <w:rPr>
          <w:rFonts w:ascii="Times New Roman" w:hAnsi="Times New Roman" w:cs="Times New Roman"/>
          <w:i/>
          <w:iCs/>
        </w:rPr>
        <w:t>For Project Beneficiaries:</w:t>
      </w:r>
    </w:p>
    <w:p w14:paraId="3A1BD16D">
      <w:pPr>
        <w:spacing w:line="276" w:lineRule="auto"/>
        <w:jc w:val="both"/>
        <w:rPr>
          <w:rFonts w:ascii="Times New Roman" w:hAnsi="Times New Roman" w:cs="Times New Roman"/>
        </w:rPr>
      </w:pPr>
      <w:r>
        <w:rPr>
          <w:rFonts w:ascii="Times New Roman" w:hAnsi="Times New Roman" w:cs="Times New Roman"/>
        </w:rPr>
        <w:t>Focal Points are considered the main points of contact for inquiries or clarifications about the GRM process. They provide a direct connection between affected communities and the institutions implementing the project.</w:t>
      </w:r>
    </w:p>
    <w:p w14:paraId="583E19A5">
      <w:pPr>
        <w:spacing w:line="276" w:lineRule="auto"/>
        <w:jc w:val="both"/>
        <w:rPr>
          <w:rFonts w:ascii="Times New Roman" w:hAnsi="Times New Roman" w:cs="Times New Roman"/>
          <w:color w:val="00FFFF"/>
        </w:rPr>
      </w:pPr>
    </w:p>
    <w:p w14:paraId="616AB332">
      <w:pPr>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FFFF"/>
        </w:rPr>
      </w:pPr>
      <w:r>
        <w:rPr>
          <w:rFonts w:ascii="Times New Roman" w:hAnsi="Times New Roman" w:cs="Times New Roman"/>
        </w:rPr>
        <w:t>The MCS Focal Points will conduct a comprehensive review of grievances received by their respective channels and will make decisions to address the issue effectively. Thus, each SRA/MCS Focal Points will manage the related complaints. Also, the MCS Focal Point is responsible for submission of the information and the taken action to the SRA Focal Point, in order to draw up the single register concerning the project implementation with the complex information.</w:t>
      </w:r>
    </w:p>
    <w:p w14:paraId="5569605A">
      <w:pPr>
        <w:jc w:val="both"/>
        <w:rPr>
          <w:rFonts w:ascii="Times New Roman" w:hAnsi="Times New Roman" w:cs="Times New Roman"/>
          <w:color w:val="00FFFF"/>
        </w:rPr>
      </w:pPr>
    </w:p>
    <w:p w14:paraId="46A238B5">
      <w:pPr>
        <w:jc w:val="both"/>
        <w:rPr>
          <w:rFonts w:ascii="Times New Roman" w:hAnsi="Times New Roman" w:cs="Times New Roman"/>
        </w:rPr>
      </w:pPr>
      <w:r>
        <w:rPr>
          <w:rFonts w:ascii="Times New Roman" w:hAnsi="Times New Roman" w:cs="Times New Roman"/>
        </w:rPr>
        <w:t>The SRA/MCS Focal points are responsible for assess the nature and seriousness of grievances received for categorize complaints based on priority levels, such as urgent, moderate, or low-impact issues.   Grievances that require higher-level intervention</w:t>
      </w:r>
      <w:r>
        <w:rPr>
          <w:rFonts w:ascii="Times New Roman" w:hAnsi="Times New Roman" w:cs="Times New Roman"/>
          <w:vertAlign w:val="superscript"/>
        </w:rPr>
        <w:footnoteReference w:id="0"/>
      </w:r>
      <w:r>
        <w:rPr>
          <w:rFonts w:ascii="Times New Roman" w:hAnsi="Times New Roman" w:cs="Times New Roman"/>
        </w:rPr>
        <w:t xml:space="preserve"> or are unresolved after that time, will be escalated to the PIU Coordinator.</w:t>
      </w:r>
    </w:p>
    <w:p w14:paraId="586653B1">
      <w:pPr>
        <w:jc w:val="both"/>
        <w:rPr>
          <w:rFonts w:ascii="Times New Roman" w:hAnsi="Times New Roman" w:cs="Times New Roman"/>
        </w:rPr>
      </w:pPr>
    </w:p>
    <w:p w14:paraId="68A58244">
      <w:pPr>
        <w:jc w:val="both"/>
        <w:rPr>
          <w:rFonts w:ascii="Times New Roman" w:hAnsi="Times New Roman" w:cs="Times New Roman"/>
        </w:rPr>
      </w:pPr>
      <w:r>
        <w:rPr>
          <w:rFonts w:ascii="Times New Roman" w:hAnsi="Times New Roman" w:cs="Times New Roman"/>
        </w:rPr>
        <w:t xml:space="preserve">SRA and MCS Focal Points are responsible for ensuring that detailed records of grievances, including the nature of the complaint, actions taken, and the outcome, are maintained.  Both SRA and MCS have similar  </w:t>
      </w:r>
      <w:sdt>
        <w:sdtPr>
          <w:rPr>
            <w:rFonts w:ascii="Times New Roman" w:hAnsi="Times New Roman" w:cs="Times New Roman"/>
          </w:rPr>
          <w:tag w:val="goog_rdk_63"/>
          <w:id w:val="-1222211116"/>
        </w:sdtPr>
        <w:sdtEndPr>
          <w:rPr>
            <w:rFonts w:ascii="Times New Roman" w:hAnsi="Times New Roman" w:cs="Times New Roman"/>
          </w:rPr>
        </w:sdtEndPr>
        <w:sdtContent/>
      </w:sdt>
      <w:sdt>
        <w:sdtPr>
          <w:rPr>
            <w:rFonts w:ascii="Times New Roman" w:hAnsi="Times New Roman" w:cs="Times New Roman"/>
          </w:rPr>
          <w:tag w:val="goog_rdk_64"/>
          <w:id w:val="-698164824"/>
        </w:sdtPr>
        <w:sdtEndPr>
          <w:rPr>
            <w:rFonts w:ascii="Times New Roman" w:hAnsi="Times New Roman" w:cs="Times New Roman"/>
          </w:rPr>
        </w:sdtEndPr>
        <w:sdtContent/>
      </w:sdt>
      <w:r>
        <w:rPr>
          <w:rFonts w:ascii="Times New Roman" w:hAnsi="Times New Roman" w:cs="Times New Roman"/>
        </w:rPr>
        <w:t>electronic document management systems which provide, among others, the following functions:</w:t>
      </w:r>
    </w:p>
    <w:p w14:paraId="30836A28">
      <w:pPr>
        <w:spacing w:line="276" w:lineRule="auto"/>
        <w:jc w:val="both"/>
        <w:rPr>
          <w:rFonts w:ascii="Times New Roman" w:hAnsi="Times New Roman" w:cs="Times New Roman"/>
        </w:rPr>
      </w:pPr>
      <w:r>
        <w:rPr>
          <w:rFonts w:ascii="Times New Roman" w:hAnsi="Times New Roman" w:cs="Times New Roman"/>
        </w:rPr>
        <w:t>• assigning a unique registration number to each document per entity;</w:t>
      </w:r>
    </w:p>
    <w:p w14:paraId="3C8C593F">
      <w:pPr>
        <w:spacing w:line="276" w:lineRule="auto"/>
        <w:jc w:val="both"/>
        <w:rPr>
          <w:rFonts w:ascii="Times New Roman" w:hAnsi="Times New Roman" w:cs="Times New Roman"/>
        </w:rPr>
      </w:pPr>
      <w:r>
        <w:rPr>
          <w:rFonts w:ascii="Times New Roman" w:hAnsi="Times New Roman" w:cs="Times New Roman"/>
        </w:rPr>
        <w:t>• establishing the stage at which each active document is located;</w:t>
      </w:r>
    </w:p>
    <w:p w14:paraId="6F48A21F">
      <w:pPr>
        <w:spacing w:line="276" w:lineRule="auto"/>
        <w:jc w:val="both"/>
        <w:rPr>
          <w:rFonts w:ascii="Times New Roman" w:hAnsi="Times New Roman" w:cs="Times New Roman"/>
        </w:rPr>
      </w:pPr>
      <w:r>
        <w:rPr>
          <w:rFonts w:ascii="Times New Roman" w:hAnsi="Times New Roman" w:cs="Times New Roman"/>
        </w:rPr>
        <w:t>• tracking the life cycle of each document.</w:t>
      </w:r>
    </w:p>
    <w:p w14:paraId="5080701A">
      <w:pPr>
        <w:spacing w:line="276" w:lineRule="auto"/>
        <w:jc w:val="both"/>
        <w:rPr>
          <w:rFonts w:ascii="Times New Roman" w:hAnsi="Times New Roman" w:cs="Times New Roman"/>
        </w:rPr>
      </w:pPr>
    </w:p>
    <w:p w14:paraId="6A598490">
      <w:pPr>
        <w:spacing w:line="276" w:lineRule="auto"/>
        <w:jc w:val="both"/>
        <w:rPr>
          <w:rFonts w:ascii="Times New Roman" w:hAnsi="Times New Roman" w:cs="Times New Roman"/>
        </w:rPr>
      </w:pPr>
      <w:r>
        <w:rPr>
          <w:rFonts w:ascii="Times New Roman" w:hAnsi="Times New Roman" w:cs="Times New Roman"/>
        </w:rPr>
        <w:t>These systems allow the circulation, storage and retrieval of documents in any electronic format, including images of documents on paper, but also to manage and monitor the process of collecting complaints and complaints, an electronic management system (management) of documents is created.</w:t>
      </w:r>
    </w:p>
    <w:p w14:paraId="073F7077">
      <w:pPr>
        <w:spacing w:line="276" w:lineRule="auto"/>
        <w:jc w:val="both"/>
        <w:rPr>
          <w:rFonts w:ascii="Times New Roman" w:hAnsi="Times New Roman" w:cs="Times New Roman"/>
          <w:i/>
        </w:rPr>
      </w:pPr>
    </w:p>
    <w:p w14:paraId="27CA4B24">
      <w:pPr>
        <w:spacing w:line="276" w:lineRule="auto"/>
        <w:jc w:val="both"/>
        <w:rPr>
          <w:rFonts w:ascii="Times New Roman" w:hAnsi="Times New Roman" w:cs="Times New Roman"/>
        </w:rPr>
      </w:pPr>
      <w:r>
        <w:rPr>
          <w:rFonts w:ascii="Times New Roman" w:hAnsi="Times New Roman" w:cs="Times New Roman"/>
        </w:rPr>
        <w:t>Both MCS and SRA will continue to maintain their individual systems for recording and managing grievances. However, SRA, as the overarching entity, will also integrate all grievances received by MCS into its own system. This integration ensures a centralized repository of grievance data, enabling consistent monitoring, reporting, and resolution tracking across the project.</w:t>
      </w:r>
    </w:p>
    <w:p w14:paraId="16B1699D">
      <w:pPr>
        <w:spacing w:line="276" w:lineRule="auto"/>
        <w:jc w:val="both"/>
        <w:rPr>
          <w:rFonts w:ascii="Times New Roman" w:hAnsi="Times New Roman" w:cs="Times New Roman"/>
        </w:rPr>
      </w:pPr>
      <w:r>
        <w:rPr>
          <w:rFonts w:ascii="Times New Roman" w:hAnsi="Times New Roman" w:cs="Times New Roman"/>
        </w:rPr>
        <w:t>The workflow can be outlined as follows:</w:t>
      </w:r>
    </w:p>
    <w:p w14:paraId="2F2D7517">
      <w:pPr>
        <w:spacing w:line="276" w:lineRule="auto"/>
        <w:jc w:val="both"/>
        <w:rPr>
          <w:rFonts w:ascii="Times New Roman" w:hAnsi="Times New Roman" w:cs="Times New Roman"/>
        </w:rPr>
      </w:pPr>
      <w:r>
        <w:rPr>
          <w:rFonts w:ascii="Times New Roman" w:hAnsi="Times New Roman" w:cs="Times New Roman"/>
        </w:rPr>
        <w:t>1.</w:t>
      </w:r>
      <w:r>
        <w:rPr>
          <w:rFonts w:ascii="Times New Roman" w:hAnsi="Times New Roman" w:cs="Times New Roman"/>
        </w:rPr>
        <w:tab/>
      </w:r>
      <w:r>
        <w:rPr>
          <w:rFonts w:ascii="Times New Roman" w:hAnsi="Times New Roman" w:cs="Times New Roman"/>
        </w:rPr>
        <w:t>MCS records grievances in its system, ensuring they are properly documented and managed at its level.</w:t>
      </w:r>
    </w:p>
    <w:p w14:paraId="7DF1D103">
      <w:pPr>
        <w:spacing w:line="276" w:lineRule="auto"/>
        <w:jc w:val="both"/>
        <w:rPr>
          <w:rFonts w:ascii="Times New Roman" w:hAnsi="Times New Roman" w:cs="Times New Roman"/>
        </w:rPr>
      </w:pPr>
      <w:r>
        <w:rPr>
          <w:rFonts w:ascii="Times New Roman" w:hAnsi="Times New Roman" w:cs="Times New Roman"/>
        </w:rPr>
        <w:t>2.</w:t>
      </w:r>
      <w:r>
        <w:rPr>
          <w:rFonts w:ascii="Times New Roman" w:hAnsi="Times New Roman" w:cs="Times New Roman"/>
        </w:rPr>
        <w:tab/>
      </w:r>
      <w:r>
        <w:rPr>
          <w:rFonts w:ascii="Times New Roman" w:hAnsi="Times New Roman" w:cs="Times New Roman"/>
        </w:rPr>
        <w:t>Relevant grievance information is shared with SRA, which records and monitors these entries in its system, aligning them with project-wide data.</w:t>
      </w:r>
    </w:p>
    <w:p w14:paraId="40EC623E">
      <w:pPr>
        <w:spacing w:line="276" w:lineRule="auto"/>
        <w:jc w:val="both"/>
        <w:rPr>
          <w:rFonts w:ascii="Times New Roman" w:hAnsi="Times New Roman" w:cs="Times New Roman"/>
        </w:rPr>
      </w:pPr>
      <w:r>
        <w:rPr>
          <w:rFonts w:ascii="Times New Roman" w:hAnsi="Times New Roman" w:cs="Times New Roman"/>
        </w:rPr>
        <w:t>3.</w:t>
      </w:r>
      <w:r>
        <w:rPr>
          <w:rFonts w:ascii="Times New Roman" w:hAnsi="Times New Roman" w:cs="Times New Roman"/>
        </w:rPr>
        <w:tab/>
      </w:r>
      <w:r>
        <w:rPr>
          <w:rFonts w:ascii="Times New Roman" w:hAnsi="Times New Roman" w:cs="Times New Roman"/>
        </w:rPr>
        <w:t>SRA uses its system to compile all grievances, including those from MCS, for centralized oversight, analysis, and reporting.</w:t>
      </w:r>
    </w:p>
    <w:p w14:paraId="4781ABA1">
      <w:pPr>
        <w:spacing w:line="276" w:lineRule="auto"/>
        <w:jc w:val="both"/>
        <w:rPr>
          <w:rFonts w:ascii="Times New Roman" w:hAnsi="Times New Roman" w:cs="Times New Roman"/>
        </w:rPr>
      </w:pPr>
      <w:r>
        <w:rPr>
          <w:rFonts w:ascii="Times New Roman" w:hAnsi="Times New Roman" w:cs="Times New Roman"/>
        </w:rPr>
        <w:t>This approach ensures that both entities maintain operational autonomy while contributing to a unified grievance redress framework for the project.</w:t>
      </w:r>
    </w:p>
    <w:p w14:paraId="228F48BA">
      <w:pPr>
        <w:pStyle w:val="39"/>
        <w:numPr>
          <w:ilvl w:val="3"/>
          <w:numId w:val="0"/>
        </w:numPr>
        <w:pBdr>
          <w:top w:val="none" w:color="auto" w:sz="0" w:space="0"/>
          <w:left w:val="none" w:color="auto" w:sz="0" w:space="0"/>
          <w:bottom w:val="none" w:color="auto" w:sz="0" w:space="0"/>
          <w:right w:val="none" w:color="auto" w:sz="0" w:space="0"/>
          <w:between w:val="none" w:color="auto" w:sz="0" w:space="0"/>
        </w:pBdr>
        <w:spacing w:line="276" w:lineRule="auto"/>
        <w:ind w:left="2880" w:hanging="360"/>
        <w:jc w:val="both"/>
        <w:rPr>
          <w:rFonts w:ascii="Times New Roman" w:hAnsi="Times New Roman" w:cs="Times New Roman"/>
          <w:b/>
          <w:color w:val="000000"/>
        </w:rPr>
      </w:pPr>
      <w:r>
        <w:rPr>
          <w:rFonts w:ascii="Times New Roman" w:hAnsi="Times New Roman" w:cs="Times New Roman"/>
          <w:b/>
          <w:color w:val="000000"/>
        </w:rPr>
        <w:t>Investigation step</w:t>
      </w:r>
    </w:p>
    <w:p w14:paraId="24A3E63C">
      <w:pPr>
        <w:spacing w:line="276" w:lineRule="auto"/>
        <w:jc w:val="both"/>
        <w:rPr>
          <w:rFonts w:ascii="Times New Roman" w:hAnsi="Times New Roman" w:cs="Times New Roman"/>
        </w:rPr>
      </w:pPr>
      <w:r>
        <w:rPr>
          <w:rFonts w:ascii="Times New Roman" w:hAnsi="Times New Roman" w:cs="Times New Roman"/>
        </w:rPr>
        <w:t xml:space="preserve">Under Article 8 of Moldova's Law on Petitions, grievances must be considered and resolved within 30 working days from the date of registration. If the grievance does not require additional study, it should be addressed promptly, but no later than 15 working days from the date of registration. If the issues raised cannot be resolved within these timeframes, the head of the institution or their deputy may extend the consideration period by up to an additional 30 working days, provided the complainant is informed of the extension and the reasons for it. However, the total period for resolving the grievance must not exceed 60 working days.   </w:t>
      </w:r>
    </w:p>
    <w:p w14:paraId="3EC45CA5">
      <w:pPr>
        <w:spacing w:line="276" w:lineRule="auto"/>
        <w:jc w:val="both"/>
        <w:rPr>
          <w:rFonts w:ascii="Times New Roman" w:hAnsi="Times New Roman" w:cs="Times New Roman"/>
        </w:rPr>
      </w:pPr>
    </w:p>
    <w:p w14:paraId="0E22FF69">
      <w:pPr>
        <w:spacing w:line="276" w:lineRule="auto"/>
        <w:jc w:val="both"/>
        <w:rPr>
          <w:rFonts w:ascii="Times New Roman" w:hAnsi="Times New Roman" w:cs="Times New Roman"/>
        </w:rPr>
      </w:pPr>
      <w:r>
        <w:rPr>
          <w:rFonts w:ascii="Times New Roman" w:hAnsi="Times New Roman" w:cs="Times New Roman"/>
        </w:rPr>
        <w:t>The SRA and/or MCS Focal point will facilitate resolution of grievances by coordinating with relevant departments or individuals to ensure a designated investigator is assigned to investigate and resolve grievances according to the above timelines.  The GRM Focal Points monitor outstanding issues and recommend measures to address them.    The process of investigation involves gathering all relevant facts to develop a clear understanding of the circumstances. This process may involve site visits, reviewing pertinent documents, and consulting with individuals who can contribute to resolving the issue.</w:t>
      </w:r>
    </w:p>
    <w:p w14:paraId="6FAD0DF9">
      <w:pPr>
        <w:spacing w:line="276" w:lineRule="auto"/>
        <w:jc w:val="both"/>
        <w:rPr>
          <w:rFonts w:ascii="Times New Roman" w:hAnsi="Times New Roman" w:cs="Times New Roman"/>
        </w:rPr>
      </w:pPr>
    </w:p>
    <w:p w14:paraId="5CFDF773">
      <w:pPr>
        <w:spacing w:line="276" w:lineRule="auto"/>
        <w:jc w:val="both"/>
        <w:rPr>
          <w:rFonts w:ascii="Times New Roman" w:hAnsi="Times New Roman" w:cs="Times New Roman"/>
        </w:rPr>
      </w:pPr>
      <w:r>
        <w:rPr>
          <w:rFonts w:ascii="Times New Roman" w:hAnsi="Times New Roman" w:cs="Times New Roman"/>
        </w:rPr>
        <w:t xml:space="preserve">The findings and proposed response will be </w:t>
      </w:r>
      <w:sdt>
        <w:sdtPr>
          <w:rPr>
            <w:rFonts w:ascii="Times New Roman" w:hAnsi="Times New Roman" w:cs="Times New Roman"/>
          </w:rPr>
          <w:tag w:val="goog_rdk_65"/>
          <w:id w:val="977732503"/>
        </w:sdtPr>
        <w:sdtEndPr>
          <w:rPr>
            <w:rFonts w:ascii="Times New Roman" w:hAnsi="Times New Roman" w:cs="Times New Roman"/>
          </w:rPr>
        </w:sdtEndPr>
        <w:sdtContent/>
      </w:sdt>
      <w:r>
        <w:rPr>
          <w:rFonts w:ascii="Times New Roman" w:hAnsi="Times New Roman" w:cs="Times New Roman"/>
        </w:rPr>
        <w:t xml:space="preserve">presented by the investigator to the SRA GRM focal </w:t>
      </w:r>
      <w:sdt>
        <w:sdtPr>
          <w:rPr>
            <w:rFonts w:ascii="Times New Roman" w:hAnsi="Times New Roman" w:cs="Times New Roman"/>
          </w:rPr>
          <w:tag w:val="goog_rdk_66"/>
          <w:id w:val="-1874445042"/>
        </w:sdtPr>
        <w:sdtEndPr>
          <w:rPr>
            <w:rFonts w:ascii="Times New Roman" w:hAnsi="Times New Roman" w:cs="Times New Roman"/>
          </w:rPr>
        </w:sdtEndPr>
        <w:sdtContent>
          <w:sdt>
            <w:sdtPr>
              <w:rPr>
                <w:rFonts w:ascii="Times New Roman" w:hAnsi="Times New Roman" w:cs="Times New Roman"/>
              </w:rPr>
              <w:tag w:val="goog_rdk_67"/>
              <w:id w:val="1597981453"/>
            </w:sdtPr>
            <w:sdtEndPr>
              <w:rPr>
                <w:rFonts w:ascii="Times New Roman" w:hAnsi="Times New Roman" w:cs="Times New Roman"/>
              </w:rPr>
            </w:sdtEndPr>
            <w:sdtContent/>
          </w:sdt>
          <w:r>
            <w:rPr>
              <w:rFonts w:ascii="Times New Roman" w:hAnsi="Times New Roman" w:cs="Times New Roman"/>
            </w:rPr>
            <w:t>point and PIU director for</w:t>
          </w:r>
        </w:sdtContent>
      </w:sdt>
      <w:sdt>
        <w:sdtPr>
          <w:rPr>
            <w:rFonts w:ascii="Times New Roman" w:hAnsi="Times New Roman" w:cs="Times New Roman"/>
          </w:rPr>
          <w:tag w:val="goog_rdk_68"/>
          <w:id w:val="-1814321359"/>
        </w:sdtPr>
        <w:sdtEndPr>
          <w:rPr>
            <w:rFonts w:ascii="Times New Roman" w:hAnsi="Times New Roman" w:cs="Times New Roman"/>
          </w:rPr>
        </w:sdtEndPr>
        <w:sdtContent>
          <w:r>
            <w:rPr>
              <w:rFonts w:ascii="Times New Roman" w:hAnsi="Times New Roman" w:cs="Times New Roman"/>
            </w:rPr>
            <w:t xml:space="preserve"> </w:t>
          </w:r>
        </w:sdtContent>
      </w:sdt>
      <w:r>
        <w:rPr>
          <w:rFonts w:ascii="Times New Roman" w:hAnsi="Times New Roman" w:cs="Times New Roman"/>
        </w:rPr>
        <w:t xml:space="preserve">review. The </w:t>
      </w:r>
      <w:sdt>
        <w:sdtPr>
          <w:rPr>
            <w:rFonts w:ascii="Times New Roman" w:hAnsi="Times New Roman" w:cs="Times New Roman"/>
          </w:rPr>
          <w:tag w:val="goog_rdk_69"/>
          <w:id w:val="437414605"/>
        </w:sdtPr>
        <w:sdtEndPr>
          <w:rPr>
            <w:rFonts w:ascii="Times New Roman" w:hAnsi="Times New Roman" w:cs="Times New Roman"/>
          </w:rPr>
        </w:sdtEndPr>
        <w:sdtContent/>
      </w:sdt>
      <w:r>
        <w:rPr>
          <w:rFonts w:ascii="Times New Roman" w:hAnsi="Times New Roman" w:cs="Times New Roman"/>
        </w:rPr>
        <w:t>Project coordinator (PIU director) will then recommend further actions. Once a decision is made and the complainant is informed, the investigator will document the actions to be taken, along with details of the investigation and findings, in the grievance form.</w:t>
      </w:r>
    </w:p>
    <w:p w14:paraId="160AE97F">
      <w:pPr>
        <w:spacing w:line="276" w:lineRule="auto"/>
        <w:rPr>
          <w:rFonts w:ascii="Times New Roman" w:hAnsi="Times New Roman" w:cs="Times New Roman"/>
        </w:rPr>
      </w:pPr>
    </w:p>
    <w:p w14:paraId="3BAC6422">
      <w:pPr>
        <w:spacing w:line="276" w:lineRule="auto"/>
        <w:jc w:val="center"/>
        <w:rPr>
          <w:rFonts w:ascii="Times New Roman" w:hAnsi="Times New Roman" w:cs="Times New Roman"/>
        </w:rPr>
      </w:pPr>
    </w:p>
    <w:p w14:paraId="5F8A52A1">
      <w:pPr>
        <w:numPr>
          <w:ilvl w:val="0"/>
          <w:numId w:val="5"/>
        </w:numPr>
        <w:pBdr>
          <w:top w:val="none" w:color="auto" w:sz="0" w:space="0"/>
          <w:left w:val="none" w:color="auto" w:sz="0" w:space="0"/>
          <w:bottom w:val="none" w:color="auto" w:sz="0" w:space="0"/>
          <w:right w:val="none" w:color="auto" w:sz="0" w:space="0"/>
          <w:between w:val="none" w:color="auto" w:sz="0" w:space="0"/>
        </w:pBdr>
        <w:spacing w:after="0" w:line="276" w:lineRule="auto"/>
        <w:jc w:val="center"/>
        <w:rPr>
          <w:rFonts w:ascii="Times New Roman" w:hAnsi="Times New Roman" w:cs="Times New Roman"/>
          <w:b/>
          <w:color w:val="000000"/>
        </w:rPr>
      </w:pPr>
      <w:r>
        <w:rPr>
          <w:rFonts w:ascii="Times New Roman" w:hAnsi="Times New Roman" w:cs="Times New Roman"/>
          <w:b/>
          <w:color w:val="000000"/>
        </w:rPr>
        <w:t>Resolution step</w:t>
      </w:r>
    </w:p>
    <w:p w14:paraId="5890C201">
      <w:pPr>
        <w:spacing w:line="276" w:lineRule="auto"/>
        <w:jc w:val="both"/>
        <w:rPr>
          <w:rFonts w:ascii="Times New Roman" w:hAnsi="Times New Roman" w:cs="Times New Roman"/>
        </w:rPr>
      </w:pPr>
      <w:r>
        <w:rPr>
          <w:rFonts w:ascii="Times New Roman" w:hAnsi="Times New Roman" w:cs="Times New Roman"/>
        </w:rPr>
        <w:br w:type="textWrapping"/>
      </w:r>
      <w:r>
        <w:rPr>
          <w:rFonts w:ascii="Times New Roman" w:hAnsi="Times New Roman" w:cs="Times New Roman"/>
        </w:rPr>
        <w:t>The PIUs will contact the complainant within 15 calendar days with a proposed resolution. If the investigation determines that the grievance does not relate to the project’s activities, or that the project is in compliance with the relevant national and international standards, the PIUs will explain this in writing to the complainant, providing the rationale behind the decision.</w:t>
      </w:r>
    </w:p>
    <w:p w14:paraId="446F8032">
      <w:pPr>
        <w:spacing w:line="276" w:lineRule="auto"/>
        <w:jc w:val="both"/>
        <w:rPr>
          <w:rFonts w:ascii="Times New Roman" w:hAnsi="Times New Roman" w:cs="Times New Roman"/>
        </w:rPr>
      </w:pPr>
    </w:p>
    <w:p w14:paraId="0495E438">
      <w:pPr>
        <w:spacing w:line="276" w:lineRule="auto"/>
        <w:jc w:val="both"/>
        <w:rPr>
          <w:rFonts w:ascii="Times New Roman" w:hAnsi="Times New Roman" w:cs="Times New Roman"/>
        </w:rPr>
      </w:pPr>
      <w:r>
        <w:rPr>
          <w:rFonts w:ascii="Times New Roman" w:hAnsi="Times New Roman" w:cs="Times New Roman"/>
        </w:rPr>
        <w:t>If necessary, the deadline for investigating the complaint may be extended by an additional 30 working days, as approved by the PIUs management. The complainant will be promptly notified of this extension along with the reasons which may include the following:</w:t>
      </w:r>
    </w:p>
    <w:p w14:paraId="0560FAF5">
      <w:pPr>
        <w:spacing w:line="276" w:lineRule="auto"/>
        <w:jc w:val="both"/>
        <w:rPr>
          <w:rFonts w:ascii="Times New Roman" w:hAnsi="Times New Roman" w:cs="Times New Roman"/>
        </w:rPr>
      </w:pPr>
    </w:p>
    <w:p w14:paraId="74884ED6">
      <w:pPr>
        <w:numPr>
          <w:ilvl w:val="0"/>
          <w:numId w:val="6"/>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Additional consultations are required to provide a comprehensive response to the complaint.</w:t>
      </w:r>
    </w:p>
    <w:p w14:paraId="2C454CAC">
      <w:pPr>
        <w:numPr>
          <w:ilvl w:val="0"/>
          <w:numId w:val="6"/>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The complaint involves a significant volume of complex information, necessitating the review of additional materials to formulate a proper response.</w:t>
      </w:r>
    </w:p>
    <w:p w14:paraId="799B2FBB">
      <w:pPr>
        <w:pBdr>
          <w:top w:val="none" w:color="auto" w:sz="0" w:space="0"/>
          <w:left w:val="none" w:color="auto" w:sz="0" w:space="0"/>
          <w:bottom w:val="none" w:color="auto" w:sz="0" w:space="0"/>
          <w:right w:val="none" w:color="auto" w:sz="0" w:space="0"/>
          <w:between w:val="none" w:color="auto" w:sz="0" w:space="0"/>
        </w:pBdr>
        <w:spacing w:line="276" w:lineRule="auto"/>
        <w:ind w:left="720"/>
        <w:rPr>
          <w:rFonts w:ascii="Times New Roman" w:hAnsi="Times New Roman" w:cs="Times New Roman"/>
        </w:rPr>
      </w:pPr>
    </w:p>
    <w:p w14:paraId="5183238D">
      <w:pPr>
        <w:numPr>
          <w:ilvl w:val="3"/>
          <w:numId w:val="0"/>
        </w:numPr>
        <w:pBdr>
          <w:top w:val="none" w:color="auto" w:sz="0" w:space="0"/>
          <w:left w:val="none" w:color="auto" w:sz="0" w:space="0"/>
          <w:bottom w:val="none" w:color="auto" w:sz="0" w:space="0"/>
          <w:right w:val="none" w:color="auto" w:sz="0" w:space="0"/>
          <w:between w:val="none" w:color="auto" w:sz="0" w:space="0"/>
        </w:pBdr>
        <w:tabs>
          <w:tab w:val="left" w:pos="2790"/>
        </w:tabs>
        <w:spacing w:line="276" w:lineRule="auto"/>
        <w:ind w:left="2880" w:hanging="360"/>
        <w:rPr>
          <w:rFonts w:ascii="Times New Roman" w:hAnsi="Times New Roman" w:cs="Times New Roman"/>
          <w:color w:val="000000"/>
        </w:rPr>
      </w:pPr>
      <w:r>
        <w:rPr>
          <w:rFonts w:ascii="Times New Roman" w:hAnsi="Times New Roman" w:cs="Times New Roman"/>
          <w:b/>
          <w:color w:val="000000"/>
        </w:rPr>
        <w:t>Follow-up step</w:t>
      </w:r>
      <w:r>
        <w:rPr>
          <w:rFonts w:ascii="Times New Roman" w:hAnsi="Times New Roman" w:cs="Times New Roman"/>
          <w:color w:val="000000"/>
        </w:rPr>
        <w:br w:type="textWrapping"/>
      </w:r>
    </w:p>
    <w:p w14:paraId="2EF7B390">
      <w:pPr>
        <w:tabs>
          <w:tab w:val="left" w:pos="2790"/>
        </w:tabs>
        <w:spacing w:line="276" w:lineRule="auto"/>
        <w:rPr>
          <w:rFonts w:ascii="Times New Roman" w:hAnsi="Times New Roman" w:cs="Times New Roman"/>
        </w:rPr>
      </w:pPr>
      <w:r>
        <w:rPr>
          <w:rFonts w:ascii="Times New Roman" w:hAnsi="Times New Roman" w:cs="Times New Roman"/>
        </w:rPr>
        <w:t>The GRM Focal points track progress and monitor the implementation of agreed resolutions to ensure their effectiveness</w:t>
      </w:r>
      <w:sdt>
        <w:sdtPr>
          <w:rPr>
            <w:rFonts w:ascii="Times New Roman" w:hAnsi="Times New Roman" w:cs="Times New Roman"/>
          </w:rPr>
          <w:tag w:val="goog_rdk_70"/>
          <w:id w:val="-351424701"/>
        </w:sdtPr>
        <w:sdtEndPr>
          <w:rPr>
            <w:rFonts w:ascii="Times New Roman" w:hAnsi="Times New Roman" w:cs="Times New Roman"/>
          </w:rPr>
        </w:sdtEndPr>
        <w:sdtContent/>
      </w:sdt>
      <w:r>
        <w:rPr>
          <w:rFonts w:ascii="Times New Roman" w:hAnsi="Times New Roman" w:cs="Times New Roman"/>
        </w:rPr>
        <w:t>.   After resolving the grievance, the GRM Focal Points may contact the complainant at a later stage to ensure that the issue has been adequately addressed and that no further problems have arisen from the project’s activities. This follow-up helps ensure that the project’s activities do not cause ongoing concerns for the affected parties.</w:t>
      </w:r>
    </w:p>
    <w:p w14:paraId="6FB05EE5">
      <w:pPr>
        <w:spacing w:line="276" w:lineRule="auto"/>
        <w:jc w:val="both"/>
        <w:rPr>
          <w:rFonts w:ascii="Times New Roman" w:hAnsi="Times New Roman" w:cs="Times New Roman"/>
        </w:rPr>
      </w:pPr>
    </w:p>
    <w:p w14:paraId="5C357140">
      <w:pPr>
        <w:spacing w:line="276" w:lineRule="auto"/>
        <w:jc w:val="both"/>
        <w:rPr>
          <w:rFonts w:ascii="Times New Roman" w:hAnsi="Times New Roman" w:cs="Times New Roman"/>
          <w:b/>
        </w:rPr>
      </w:pPr>
      <w:r>
        <w:rPr>
          <w:rFonts w:ascii="Times New Roman" w:hAnsi="Times New Roman" w:cs="Times New Roman"/>
          <w:b/>
        </w:rPr>
        <w:t>Appeals Process including national level judiciary</w:t>
      </w:r>
      <w:sdt>
        <w:sdtPr>
          <w:rPr>
            <w:rFonts w:ascii="Times New Roman" w:hAnsi="Times New Roman" w:cs="Times New Roman"/>
          </w:rPr>
          <w:tag w:val="goog_rdk_71"/>
          <w:id w:val="-15000878"/>
        </w:sdtPr>
        <w:sdtEndPr>
          <w:rPr>
            <w:rFonts w:ascii="Times New Roman" w:hAnsi="Times New Roman" w:cs="Times New Roman"/>
          </w:rPr>
        </w:sdtEndPr>
        <w:sdtContent/>
      </w:sdt>
      <w:r>
        <w:rPr>
          <w:rFonts w:ascii="Times New Roman" w:hAnsi="Times New Roman" w:cs="Times New Roman"/>
          <w:b/>
        </w:rPr>
        <w:t xml:space="preserve"> </w:t>
      </w:r>
    </w:p>
    <w:p w14:paraId="09467A0C">
      <w:pPr>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sdt>
      <w:sdtPr>
        <w:rPr>
          <w:rFonts w:ascii="Times New Roman" w:hAnsi="Times New Roman" w:cs="Times New Roman"/>
        </w:rPr>
        <w:tag w:val="goog_rdk_74"/>
        <w:id w:val="1349214350"/>
      </w:sdtPr>
      <w:sdtEndPr>
        <w:rPr>
          <w:rFonts w:ascii="Times New Roman" w:hAnsi="Times New Roman" w:cs="Times New Roman"/>
        </w:rPr>
      </w:sdtEndPr>
      <w:sdtContent>
        <w:p w14:paraId="6FC4D102">
          <w:pPr>
            <w:spacing w:line="276" w:lineRule="auto"/>
            <w:jc w:val="both"/>
            <w:rPr>
              <w:rFonts w:ascii="Times New Roman" w:hAnsi="Times New Roman" w:cs="Times New Roman"/>
            </w:rPr>
          </w:pPr>
          <w:r>
            <w:rPr>
              <w:rFonts w:ascii="Times New Roman" w:hAnsi="Times New Roman" w:cs="Times New Roman"/>
            </w:rPr>
            <w:t xml:space="preserve">The GRM does not replace nor should it hinder judicial and administrative remedies, such as mediation or arbitration, which may be necessary for disputes that fall outside the scope of the GRM. A key function of the GRM is to address concerns proactively before they escalate to the level requiring judicial or administrative proceedings. Stakeholders will retain the right </w:t>
          </w:r>
          <w:sdt>
            <w:sdtPr>
              <w:rPr>
                <w:rFonts w:ascii="Times New Roman" w:hAnsi="Times New Roman" w:cs="Times New Roman"/>
              </w:rPr>
              <w:tag w:val="goog_rdk_72"/>
              <w:id w:val="25219784"/>
            </w:sdtPr>
            <w:sdtEndPr>
              <w:rPr>
                <w:rFonts w:ascii="Times New Roman" w:hAnsi="Times New Roman" w:cs="Times New Roman"/>
              </w:rPr>
            </w:sdtEndPr>
            <w:sdtContent/>
          </w:sdt>
          <w:r>
            <w:rPr>
              <w:rFonts w:ascii="Times New Roman" w:hAnsi="Times New Roman" w:cs="Times New Roman"/>
            </w:rPr>
            <w:t>to appeal to the courts if they are dissatisfied with the outcome of the grievance investigation.</w:t>
          </w:r>
          <w:sdt>
            <w:sdtPr>
              <w:rPr>
                <w:rFonts w:ascii="Times New Roman" w:hAnsi="Times New Roman" w:cs="Times New Roman"/>
              </w:rPr>
              <w:tag w:val="goog_rdk_73"/>
              <w:id w:val="-2098161499"/>
            </w:sdtPr>
            <w:sdtEndPr>
              <w:rPr>
                <w:rFonts w:ascii="Times New Roman" w:hAnsi="Times New Roman" w:cs="Times New Roman"/>
              </w:rPr>
            </w:sdtEndPr>
            <w:sdtContent/>
          </w:sdt>
        </w:p>
      </w:sdtContent>
    </w:sdt>
    <w:sdt>
      <w:sdtPr>
        <w:rPr>
          <w:rFonts w:ascii="Times New Roman" w:hAnsi="Times New Roman" w:cs="Times New Roman"/>
        </w:rPr>
        <w:tag w:val="goog_rdk_76"/>
        <w:id w:val="1375113775"/>
      </w:sdtPr>
      <w:sdtEndPr>
        <w:rPr>
          <w:rFonts w:ascii="Times New Roman" w:hAnsi="Times New Roman" w:cs="Times New Roman"/>
        </w:rPr>
      </w:sdtEndPr>
      <w:sdtContent>
        <w:p w14:paraId="6C9331D6">
          <w:pPr>
            <w:spacing w:line="276" w:lineRule="auto"/>
            <w:jc w:val="both"/>
            <w:rPr>
              <w:rFonts w:ascii="Times New Roman" w:hAnsi="Times New Roman" w:cs="Times New Roman"/>
            </w:rPr>
          </w:pPr>
          <w:sdt>
            <w:sdtPr>
              <w:rPr>
                <w:rFonts w:ascii="Times New Roman" w:hAnsi="Times New Roman" w:cs="Times New Roman"/>
              </w:rPr>
              <w:tag w:val="goog_rdk_75"/>
              <w:id w:val="2084791601"/>
            </w:sdtPr>
            <w:sdtEndPr>
              <w:rPr>
                <w:rFonts w:ascii="Times New Roman" w:hAnsi="Times New Roman" w:cs="Times New Roman"/>
              </w:rPr>
            </w:sdtEndPr>
            <w:sdtContent/>
          </w:sdt>
        </w:p>
      </w:sdtContent>
    </w:sdt>
    <w:sdt>
      <w:sdtPr>
        <w:rPr>
          <w:rFonts w:ascii="Times New Roman" w:hAnsi="Times New Roman" w:cs="Times New Roman"/>
        </w:rPr>
        <w:tag w:val="goog_rdk_78"/>
        <w:id w:val="438118155"/>
      </w:sdtPr>
      <w:sdtEndPr>
        <w:rPr>
          <w:rFonts w:ascii="Times New Roman" w:hAnsi="Times New Roman" w:cs="Times New Roman"/>
        </w:rPr>
      </w:sdtEndPr>
      <w:sdtContent>
        <w:p w14:paraId="65EBBF2C">
          <w:pPr>
            <w:spacing w:line="276" w:lineRule="auto"/>
            <w:jc w:val="both"/>
            <w:rPr>
              <w:rFonts w:ascii="Times New Roman" w:hAnsi="Times New Roman" w:cs="Times New Roman"/>
            </w:rPr>
          </w:pPr>
          <w:sdt>
            <w:sdtPr>
              <w:rPr>
                <w:rFonts w:ascii="Times New Roman" w:hAnsi="Times New Roman" w:cs="Times New Roman"/>
              </w:rPr>
              <w:tag w:val="goog_rdk_77"/>
              <w:id w:val="-2037807762"/>
            </w:sdtPr>
            <w:sdtEndPr>
              <w:rPr>
                <w:rFonts w:ascii="Times New Roman" w:hAnsi="Times New Roman" w:cs="Times New Roman"/>
              </w:rPr>
            </w:sdtEndPr>
            <w:sdtContent>
              <w:r>
                <w:rPr>
                  <w:rFonts w:ascii="Times New Roman" w:hAnsi="Times New Roman" w:cs="Times New Roman"/>
                </w:rPr>
                <w:t>In case if a complainant is dissatisfied with the decision made at the internal or administrative level they have the right to escalate the matter through the national judiciary system:</w:t>
              </w:r>
            </w:sdtContent>
          </w:sdt>
        </w:p>
      </w:sdtContent>
    </w:sdt>
    <w:sdt>
      <w:sdtPr>
        <w:rPr>
          <w:rFonts w:ascii="Times New Roman" w:hAnsi="Times New Roman" w:cs="Times New Roman"/>
        </w:rPr>
        <w:tag w:val="goog_rdk_80"/>
        <w:id w:val="1485274138"/>
      </w:sdtPr>
      <w:sdtEndPr>
        <w:rPr>
          <w:rFonts w:ascii="Times New Roman" w:hAnsi="Times New Roman" w:cs="Times New Roman"/>
        </w:rPr>
      </w:sdtEndPr>
      <w:sdtContent>
        <w:p w14:paraId="2011F27F">
          <w:pPr>
            <w:spacing w:line="276" w:lineRule="auto"/>
            <w:jc w:val="both"/>
            <w:rPr>
              <w:rFonts w:ascii="Times New Roman" w:hAnsi="Times New Roman" w:cs="Times New Roman"/>
            </w:rPr>
          </w:pPr>
          <w:sdt>
            <w:sdtPr>
              <w:rPr>
                <w:rFonts w:ascii="Times New Roman" w:hAnsi="Times New Roman" w:cs="Times New Roman"/>
              </w:rPr>
              <w:tag w:val="goog_rdk_79"/>
              <w:id w:val="537016979"/>
            </w:sdtPr>
            <w:sdtEndPr>
              <w:rPr>
                <w:rFonts w:ascii="Times New Roman" w:hAnsi="Times New Roman" w:cs="Times New Roman"/>
              </w:rPr>
            </w:sdtEndPr>
            <w:sdtContent>
              <w:r>
                <w:rPr>
                  <w:rFonts w:ascii="Times New Roman" w:hAnsi="Times New Roman" w:cs="Times New Roman"/>
                </w:rPr>
                <w:t>A. Administrative Court Level (Judecatoriile). The complainant can file an administrative claim with the Administrative Court if the grievance involves decisions or actions by public authorities, including regulatory bodies, government agencies, or ministries. In Republic of Moldova, an administrative claim must generally be filed within 30 days from the date the complainant was informed of the decision or action that is being contested. The Administrative Court will review the complaint, the administrative act (decision), and the procedures followed. If the court finds that the public authority acted unlawfully or improperly, it may annul the decision or order corrective action.</w:t>
              </w:r>
            </w:sdtContent>
          </w:sdt>
        </w:p>
      </w:sdtContent>
    </w:sdt>
    <w:sdt>
      <w:sdtPr>
        <w:rPr>
          <w:rFonts w:ascii="Times New Roman" w:hAnsi="Times New Roman" w:cs="Times New Roman"/>
        </w:rPr>
        <w:tag w:val="goog_rdk_82"/>
        <w:id w:val="1137535183"/>
      </w:sdtPr>
      <w:sdtEndPr>
        <w:rPr>
          <w:rFonts w:ascii="Times New Roman" w:hAnsi="Times New Roman" w:cs="Times New Roman"/>
        </w:rPr>
      </w:sdtEndPr>
      <w:sdtContent>
        <w:p w14:paraId="6B90C11C">
          <w:pPr>
            <w:spacing w:line="276" w:lineRule="auto"/>
            <w:jc w:val="both"/>
            <w:rPr>
              <w:rFonts w:ascii="Times New Roman" w:hAnsi="Times New Roman" w:cs="Times New Roman"/>
            </w:rPr>
          </w:pPr>
          <w:sdt>
            <w:sdtPr>
              <w:rPr>
                <w:rFonts w:ascii="Times New Roman" w:hAnsi="Times New Roman" w:cs="Times New Roman"/>
              </w:rPr>
              <w:tag w:val="goog_rdk_81"/>
              <w:id w:val="1032688321"/>
            </w:sdtPr>
            <w:sdtEndPr>
              <w:rPr>
                <w:rFonts w:ascii="Times New Roman" w:hAnsi="Times New Roman" w:cs="Times New Roman"/>
              </w:rPr>
            </w:sdtEndPr>
            <w:sdtContent>
              <w:r>
                <w:rPr>
                  <w:rFonts w:ascii="Times New Roman" w:hAnsi="Times New Roman" w:cs="Times New Roman"/>
                </w:rPr>
                <w:t>B. Court of Appeal. If the complainant is not satisfied with the decision of the Administrative Court, they can appeal to the Court of Appeal within 15 days of the court's ruling. The Court of Appeal reviews the facts and legal grounds of the case, ensuring that the decision made by the Administrative Court was in compliance with the law.</w:t>
              </w:r>
            </w:sdtContent>
          </w:sdt>
        </w:p>
      </w:sdtContent>
    </w:sdt>
    <w:sdt>
      <w:sdtPr>
        <w:rPr>
          <w:rFonts w:ascii="Times New Roman" w:hAnsi="Times New Roman" w:cs="Times New Roman"/>
        </w:rPr>
        <w:tag w:val="goog_rdk_84"/>
        <w:id w:val="-1784108889"/>
      </w:sdtPr>
      <w:sdtEndPr>
        <w:rPr>
          <w:rFonts w:ascii="Times New Roman" w:hAnsi="Times New Roman" w:cs="Times New Roman"/>
        </w:rPr>
      </w:sdtEndPr>
      <w:sdtContent>
        <w:p w14:paraId="2B4D3A3F">
          <w:pPr>
            <w:spacing w:line="276" w:lineRule="auto"/>
            <w:jc w:val="both"/>
            <w:rPr>
              <w:rFonts w:ascii="Times New Roman" w:hAnsi="Times New Roman" w:cs="Times New Roman"/>
            </w:rPr>
          </w:pPr>
          <w:sdt>
            <w:sdtPr>
              <w:rPr>
                <w:rFonts w:ascii="Times New Roman" w:hAnsi="Times New Roman" w:cs="Times New Roman"/>
              </w:rPr>
              <w:tag w:val="goog_rdk_83"/>
              <w:id w:val="911747217"/>
            </w:sdtPr>
            <w:sdtEndPr>
              <w:rPr>
                <w:rFonts w:ascii="Times New Roman" w:hAnsi="Times New Roman" w:cs="Times New Roman"/>
              </w:rPr>
            </w:sdtEndPr>
            <w:sdtContent>
              <w:r>
                <w:rPr>
                  <w:rFonts w:ascii="Times New Roman" w:hAnsi="Times New Roman" w:cs="Times New Roman"/>
                </w:rPr>
                <w:t>The Court of Appeal can either: Uphold the lower court's decision. Overturn or modify the decision based on new legal arguments or facts presented.</w:t>
              </w:r>
            </w:sdtContent>
          </w:sdt>
        </w:p>
      </w:sdtContent>
    </w:sdt>
    <w:sdt>
      <w:sdtPr>
        <w:rPr>
          <w:rFonts w:ascii="Times New Roman" w:hAnsi="Times New Roman" w:cs="Times New Roman"/>
        </w:rPr>
        <w:tag w:val="goog_rdk_86"/>
        <w:id w:val="-1503886893"/>
      </w:sdtPr>
      <w:sdtEndPr>
        <w:rPr>
          <w:rFonts w:ascii="Times New Roman" w:hAnsi="Times New Roman" w:cs="Times New Roman"/>
        </w:rPr>
      </w:sdtEndPr>
      <w:sdtContent>
        <w:p w14:paraId="4CC04C17">
          <w:pPr>
            <w:spacing w:line="276" w:lineRule="auto"/>
            <w:jc w:val="both"/>
            <w:rPr>
              <w:rFonts w:ascii="Times New Roman" w:hAnsi="Times New Roman" w:cs="Times New Roman"/>
            </w:rPr>
          </w:pPr>
          <w:sdt>
            <w:sdtPr>
              <w:rPr>
                <w:rFonts w:ascii="Times New Roman" w:hAnsi="Times New Roman" w:cs="Times New Roman"/>
              </w:rPr>
              <w:tag w:val="goog_rdk_85"/>
              <w:id w:val="-2144186380"/>
            </w:sdtPr>
            <w:sdtEndPr>
              <w:rPr>
                <w:rFonts w:ascii="Times New Roman" w:hAnsi="Times New Roman" w:cs="Times New Roman"/>
              </w:rPr>
            </w:sdtEndPr>
            <w:sdtContent>
              <w:r>
                <w:rPr>
                  <w:rFonts w:ascii="Times New Roman" w:hAnsi="Times New Roman" w:cs="Times New Roman"/>
                </w:rPr>
                <w:t>C. Supreme Court of Justice (Final Appeal) If the complainant is still unsatisfied after the Court of Appeal’s ruling, they may file an appeal with the Supreme Court of Justice. The Supreme Court primarily reviews cases on points of law, ensuring the interpretation of laws is consistent across lower courts. It does not typically reexamine factual issues. The decision of the Supreme Court of Justice is final and binding, and it represents the last level of judicial appeal in Moldova.</w:t>
              </w:r>
            </w:sdtContent>
          </w:sdt>
        </w:p>
      </w:sdtContent>
    </w:sdt>
    <w:sdt>
      <w:sdtPr>
        <w:rPr>
          <w:rFonts w:ascii="Times New Roman" w:hAnsi="Times New Roman" w:cs="Times New Roman"/>
        </w:rPr>
        <w:tag w:val="goog_rdk_88"/>
        <w:id w:val="-1950700109"/>
      </w:sdtPr>
      <w:sdtEndPr>
        <w:rPr>
          <w:rFonts w:ascii="Times New Roman" w:hAnsi="Times New Roman" w:cs="Times New Roman"/>
        </w:rPr>
      </w:sdtEndPr>
      <w:sdtContent>
        <w:p w14:paraId="0833F9F5">
          <w:pPr>
            <w:spacing w:line="276" w:lineRule="auto"/>
            <w:ind w:firstLine="720"/>
            <w:jc w:val="both"/>
            <w:rPr>
              <w:rFonts w:ascii="Times New Roman" w:hAnsi="Times New Roman" w:cs="Times New Roman"/>
            </w:rPr>
          </w:pPr>
          <w:sdt>
            <w:sdtPr>
              <w:rPr>
                <w:rFonts w:ascii="Times New Roman" w:hAnsi="Times New Roman" w:cs="Times New Roman"/>
              </w:rPr>
              <w:tag w:val="goog_rdk_87"/>
              <w:id w:val="-795223673"/>
            </w:sdtPr>
            <w:sdtEndPr>
              <w:rPr>
                <w:rFonts w:ascii="Times New Roman" w:hAnsi="Times New Roman" w:cs="Times New Roman"/>
              </w:rPr>
            </w:sdtEndPr>
            <w:sdtContent>
              <w:r>
                <w:rPr>
                  <w:rFonts w:ascii="Times New Roman" w:hAnsi="Times New Roman" w:cs="Times New Roman"/>
                </w:rPr>
                <w:t xml:space="preserve"> If the issue relates to potential violations of human rights or poor public administration, the complainant can also appeal to the Ombudsman (Avocatul Poporului) in Moldova. The Ombudsman can investigate complaints against public authorities, ensuring that citizens' rights are respected and that they receive fair treatment.</w:t>
              </w:r>
            </w:sdtContent>
          </w:sdt>
        </w:p>
      </w:sdtContent>
    </w:sdt>
    <w:sdt>
      <w:sdtPr>
        <w:rPr>
          <w:rFonts w:ascii="Times New Roman" w:hAnsi="Times New Roman" w:cs="Times New Roman"/>
        </w:rPr>
        <w:tag w:val="goog_rdk_90"/>
        <w:id w:val="6021280"/>
      </w:sdtPr>
      <w:sdtEndPr>
        <w:rPr>
          <w:rFonts w:ascii="Times New Roman" w:hAnsi="Times New Roman" w:cs="Times New Roman"/>
        </w:rPr>
      </w:sdtEndPr>
      <w:sdtContent>
        <w:p w14:paraId="4D08D92F">
          <w:pPr>
            <w:spacing w:line="276" w:lineRule="auto"/>
            <w:jc w:val="both"/>
            <w:rPr>
              <w:rFonts w:ascii="Times New Roman" w:hAnsi="Times New Roman" w:cs="Times New Roman"/>
            </w:rPr>
          </w:pPr>
          <w:sdt>
            <w:sdtPr>
              <w:rPr>
                <w:rFonts w:ascii="Times New Roman" w:hAnsi="Times New Roman" w:cs="Times New Roman"/>
              </w:rPr>
              <w:tag w:val="goog_rdk_89"/>
              <w:id w:val="268745410"/>
            </w:sdtPr>
            <w:sdtEndPr>
              <w:rPr>
                <w:rFonts w:ascii="Times New Roman" w:hAnsi="Times New Roman" w:cs="Times New Roman"/>
              </w:rPr>
            </w:sdtEndPr>
            <w:sdtContent>
              <w:r>
                <w:rPr>
                  <w:rFonts w:ascii="Times New Roman" w:hAnsi="Times New Roman" w:cs="Times New Roman"/>
                </w:rPr>
                <w:t>In Moldova, the judicial appeals process provides a structured route for complainants to challenge decisions and resolve grievances in a fair and transparent manner. If internal resolution mechanisms fail, complainants can seek recourse through the Administrative Court, with further appeals possible through the Court of Appeal and the Supreme Court of Justice. For some cases, alternative dispute resolution and the Ombudsman can offer quicker, less formal options. This multi-step process ensures access to justice and accountability for all parties involved.</w:t>
              </w:r>
            </w:sdtContent>
          </w:sdt>
        </w:p>
      </w:sdtContent>
    </w:sdt>
    <w:p w14:paraId="6780CE37">
      <w:pPr>
        <w:spacing w:line="276" w:lineRule="auto"/>
        <w:jc w:val="both"/>
        <w:rPr>
          <w:rFonts w:ascii="Times New Roman" w:hAnsi="Times New Roman" w:cs="Times New Roman"/>
        </w:rPr>
      </w:pPr>
    </w:p>
    <w:p w14:paraId="537414A2">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rPr>
          <w:rFonts w:ascii="Times New Roman" w:hAnsi="Times New Roman" w:cs="Times New Roman"/>
          <w:color w:val="000000"/>
        </w:rPr>
        <w:t>Pursuant to the Regulation on the operation of anti-corruption telephone lines approved by Law no. 252/2013, Law no. 325/2013 regarding the assessment of institutional integrity, Integrity Law no. 82 of 25.05.2017 ASD/MCS has implemented an anti-corruption hotline, which facilitates the collection of information regarding possible acts of corruption, but also other types of complaints and complaints. This line is an additional tool for citizens and employees, ensuring confidentiality and encouraging the reporting of any irregularities related to the implementation of road projects.</w:t>
      </w:r>
    </w:p>
    <w:p w14:paraId="27485FF9">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p w14:paraId="1E96941F">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rPr>
          <w:rFonts w:ascii="Times New Roman" w:hAnsi="Times New Roman" w:cs="Times New Roman"/>
          <w:color w:val="000000"/>
        </w:rPr>
        <w:t>All incoming calls are recorded in the Call Register to the special anti-corruption line. The information registration number is assigned and communicated to the caller in the manner provided by the Regulation on the operation of the anti-corruption hotline system, approved by Law no. 252/2013, to give him the opportunity to find out about the actions taken after the registration of the appeal.</w:t>
      </w:r>
    </w:p>
    <w:p w14:paraId="11BD39BD">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p w14:paraId="235CBE49">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r>
        <w:rPr>
          <w:rFonts w:ascii="Times New Roman" w:hAnsi="Times New Roman" w:cs="Times New Roman"/>
          <w:color w:val="000000"/>
        </w:rPr>
        <w:t>The anti-corruption line contributes to increasing transparency and strengthening public trust in the Administration, facilitating the prompt identification and management of problems related to corruption or other administrative irregularities. All complaints received through this channel are treated with priority and rigorous investigation.</w:t>
      </w:r>
    </w:p>
    <w:p w14:paraId="37FCB9F5">
      <w:pPr>
        <w:spacing w:line="276" w:lineRule="auto"/>
        <w:rPr>
          <w:rFonts w:ascii="Times New Roman" w:hAnsi="Times New Roman" w:cs="Times New Roman"/>
        </w:rPr>
      </w:pPr>
    </w:p>
    <w:p w14:paraId="7576B1C2">
      <w:pPr>
        <w:spacing w:line="276" w:lineRule="auto"/>
        <w:rPr>
          <w:rFonts w:ascii="Times New Roman" w:hAnsi="Times New Roman" w:cs="Times New Roman"/>
        </w:rPr>
      </w:pPr>
    </w:p>
    <w:p w14:paraId="658E63CC">
      <w:pPr>
        <w:spacing w:line="276" w:lineRule="auto"/>
        <w:jc w:val="both"/>
        <w:rPr>
          <w:rFonts w:ascii="Times New Roman" w:hAnsi="Times New Roman" w:cs="Times New Roman"/>
        </w:rPr>
      </w:pPr>
      <w:sdt>
        <w:sdtPr>
          <w:rPr>
            <w:rFonts w:ascii="Times New Roman" w:hAnsi="Times New Roman" w:cs="Times New Roman"/>
          </w:rPr>
          <w:tag w:val="goog_rdk_96"/>
          <w:id w:val="-571963150"/>
        </w:sdtPr>
        <w:sdtEndPr>
          <w:rPr>
            <w:rFonts w:ascii="Times New Roman" w:hAnsi="Times New Roman" w:cs="Times New Roman"/>
          </w:rPr>
        </w:sdtEndPr>
        <w:sdtContent/>
      </w:sdt>
      <w:r>
        <w:rPr>
          <w:rFonts w:ascii="Times New Roman" w:hAnsi="Times New Roman" w:cs="Times New Roman"/>
          <w:b/>
        </w:rPr>
        <w:t>GRM for workers.</w:t>
      </w:r>
      <w:r>
        <w:rPr>
          <w:rFonts w:ascii="Times New Roman" w:hAnsi="Times New Roman" w:cs="Times New Roman"/>
        </w:rPr>
        <w:t xml:space="preserve"> Contractors as employers </w:t>
      </w:r>
      <w:sdt>
        <w:sdtPr>
          <w:rPr>
            <w:rFonts w:ascii="Times New Roman" w:hAnsi="Times New Roman" w:cs="Times New Roman"/>
          </w:rPr>
          <w:tag w:val="goog_rdk_97"/>
          <w:id w:val="479744343"/>
        </w:sdtPr>
        <w:sdtEndPr>
          <w:rPr>
            <w:rFonts w:ascii="Times New Roman" w:hAnsi="Times New Roman" w:cs="Times New Roman"/>
          </w:rPr>
        </w:sdtEndPr>
        <w:sdtContent>
          <w:r>
            <w:rPr>
              <w:rFonts w:ascii="Times New Roman" w:hAnsi="Times New Roman" w:cs="Times New Roman"/>
            </w:rPr>
            <w:t xml:space="preserve">are </w:t>
          </w:r>
        </w:sdtContent>
      </w:sdt>
      <w:r>
        <w:rPr>
          <w:rFonts w:ascii="Times New Roman" w:hAnsi="Times New Roman" w:cs="Times New Roman"/>
        </w:rPr>
        <w:t xml:space="preserve">obliged to establish their own internal grievance mechanism. Project's workers shall be informed of alternative GRMs in case their issues cannot be settled in an amicable manner by their respective employers and/or in case they do not feel safe in reporting grievances to their employers (such as unsafe working conditions). Also, if he consider in a dangerous unsafe situation with disastrous implications for health or imminent for life when there is no time to notify company managers (overheating of containers with risk of explosion, gas leaks, broken/non-insulated electrical cables, etc.) must be informed that they can </w:t>
      </w:r>
      <w:sdt>
        <w:sdtPr>
          <w:rPr>
            <w:rFonts w:ascii="Times New Roman" w:hAnsi="Times New Roman" w:cs="Times New Roman"/>
          </w:rPr>
          <w:tag w:val="goog_rdk_99"/>
          <w:id w:val="-863432584"/>
        </w:sdtPr>
        <w:sdtEndPr>
          <w:rPr>
            <w:rFonts w:ascii="Times New Roman" w:hAnsi="Times New Roman" w:cs="Times New Roman"/>
          </w:rPr>
        </w:sdtEndPr>
        <w:sdtContent>
          <w:r>
            <w:rPr>
              <w:rFonts w:ascii="Times New Roman" w:hAnsi="Times New Roman" w:cs="Times New Roman"/>
            </w:rPr>
            <w:t>submit a complaints directly at Focal Points or at address indicated in the Table 1</w:t>
          </w:r>
        </w:sdtContent>
      </w:sdt>
      <w:r>
        <w:rPr>
          <w:rFonts w:ascii="Times New Roman" w:hAnsi="Times New Roman" w:cs="Times New Roman"/>
        </w:rPr>
        <w:t xml:space="preserve"> without being subsequently penalized by the Company.</w:t>
      </w:r>
    </w:p>
    <w:p w14:paraId="229780EC">
      <w:pPr>
        <w:spacing w:line="276" w:lineRule="auto"/>
        <w:jc w:val="both"/>
        <w:rPr>
          <w:rFonts w:ascii="Times New Roman" w:hAnsi="Times New Roman" w:cs="Times New Roman"/>
        </w:rPr>
      </w:pPr>
      <w:bookmarkStart w:id="8" w:name="_heading=h.1fob9te" w:colFirst="0" w:colLast="0"/>
      <w:bookmarkEnd w:id="8"/>
      <w:r>
        <w:rPr>
          <w:rFonts w:ascii="Times New Roman" w:hAnsi="Times New Roman" w:cs="Times New Roman"/>
        </w:rPr>
        <w:t xml:space="preserve">Information about the existence of the grievance mechanism will be readily available to all project workers (direct and contracted) through notice boards and other means, as needed. Also, the GRM will be described in workers’ induction trainings, which will be provided to all project workers. </w:t>
      </w:r>
    </w:p>
    <w:p w14:paraId="2939A238">
      <w:pPr>
        <w:spacing w:line="276" w:lineRule="auto"/>
        <w:jc w:val="both"/>
        <w:rPr>
          <w:rFonts w:ascii="Times New Roman" w:hAnsi="Times New Roman" w:cs="Times New Roman"/>
        </w:rPr>
      </w:pPr>
    </w:p>
    <w:p w14:paraId="231118EF">
      <w:pPr>
        <w:spacing w:line="276" w:lineRule="auto"/>
        <w:jc w:val="both"/>
        <w:rPr>
          <w:rFonts w:ascii="Times New Roman" w:hAnsi="Times New Roman" w:cs="Times New Roman"/>
        </w:rPr>
      </w:pPr>
      <w:r>
        <w:rPr>
          <w:rFonts w:ascii="Times New Roman" w:hAnsi="Times New Roman" w:cs="Times New Roman"/>
        </w:rPr>
        <w:t xml:space="preserve">The main monitoring entity for workers will be the Construction Supervision Engineer. In his responsibility will be to monitor how many employees are on site, if they are working in safe conditions, if they are paid by Contractor and are not discriminated for any reasons.  </w:t>
      </w:r>
    </w:p>
    <w:p w14:paraId="61F65373">
      <w:pPr>
        <w:spacing w:line="276" w:lineRule="auto"/>
        <w:jc w:val="both"/>
        <w:rPr>
          <w:rFonts w:ascii="Times New Roman" w:hAnsi="Times New Roman" w:cs="Times New Roman"/>
        </w:rPr>
      </w:pPr>
    </w:p>
    <w:p w14:paraId="41EC5FAF">
      <w:pPr>
        <w:spacing w:line="276" w:lineRule="auto"/>
        <w:jc w:val="both"/>
        <w:rPr>
          <w:rFonts w:ascii="Times New Roman" w:hAnsi="Times New Roman" w:cs="Times New Roman"/>
        </w:rPr>
      </w:pPr>
      <w:r>
        <w:rPr>
          <w:rFonts w:ascii="Times New Roman" w:hAnsi="Times New Roman" w:cs="Times New Roman"/>
        </w:rPr>
        <w:t>Workers can submit grievances through various channels (online forms, emails, in-person. The grievance is acknowledged, and a reference number is provided. An investigation is conducted to verify the facts and assess the validity of the complaint. Based on the findings, appropriate actions are taken (e.g., disciplinary action, policy changes, compensation). The worker is informed of the resolution and any actions taken. Workers can appeal the decision if dissatisfied, with the case being reviewed by a higher authority. Ensuring that the solution is effectively implemented and preventing recurrence.</w:t>
      </w:r>
    </w:p>
    <w:p w14:paraId="241F8E8C">
      <w:pPr>
        <w:spacing w:line="276" w:lineRule="auto"/>
        <w:jc w:val="both"/>
        <w:rPr>
          <w:rFonts w:ascii="Times New Roman" w:hAnsi="Times New Roman" w:cs="Times New Roman"/>
        </w:rPr>
      </w:pPr>
    </w:p>
    <w:p w14:paraId="69AC5FC2">
      <w:pPr>
        <w:spacing w:line="276" w:lineRule="auto"/>
        <w:jc w:val="both"/>
        <w:rPr>
          <w:rFonts w:ascii="Times New Roman" w:hAnsi="Times New Roman" w:cs="Times New Roman"/>
        </w:rPr>
      </w:pPr>
      <w:r>
        <w:rPr>
          <w:rFonts w:ascii="Times New Roman" w:hAnsi="Times New Roman" w:cs="Times New Roman"/>
        </w:rPr>
        <w:t>GRM at the Project level is applicable to PIU, Contractors, workers, people living in Project area and will be maintained during the entire period of Project implementation. The GRM will ensure that the all stakeholders can effectively be engaged in the Project design, implementation, provide project staff with practical suggestions/feedback on Project activities allowing them to be more accountable, transparent, and responsive. Ensure a fair, transparent process for resolving workplace issues, maintain a positive and respectful work environment, protect workers from retaliation and maintain confidentiality, helps improve employee satisfaction, resolve conflicts, and maintain organizational harmony.</w:t>
      </w:r>
    </w:p>
    <w:sdt>
      <w:sdtPr>
        <w:rPr>
          <w:rFonts w:ascii="Times New Roman" w:hAnsi="Times New Roman" w:cs="Times New Roman"/>
        </w:rPr>
        <w:tag w:val="goog_rdk_116"/>
        <w:id w:val="1231966738"/>
      </w:sdtPr>
      <w:sdtEndPr>
        <w:rPr>
          <w:rFonts w:ascii="Times New Roman" w:hAnsi="Times New Roman" w:cs="Times New Roman"/>
        </w:rPr>
      </w:sdtEndPr>
      <w:sdtContent>
        <w:p w14:paraId="14E27995">
          <w:pPr>
            <w:spacing w:line="276" w:lineRule="auto"/>
            <w:jc w:val="both"/>
            <w:rPr>
              <w:rFonts w:ascii="Times New Roman" w:hAnsi="Times New Roman" w:cs="Times New Roman"/>
            </w:rPr>
          </w:pPr>
          <w:sdt>
            <w:sdtPr>
              <w:rPr>
                <w:rFonts w:ascii="Times New Roman" w:hAnsi="Times New Roman" w:cs="Times New Roman"/>
              </w:rPr>
              <w:tag w:val="goog_rdk_115"/>
              <w:id w:val="-556938141"/>
            </w:sdtPr>
            <w:sdtEndPr>
              <w:rPr>
                <w:rFonts w:ascii="Times New Roman" w:hAnsi="Times New Roman" w:cs="Times New Roman"/>
              </w:rPr>
            </w:sdtEndPr>
            <w:sdtContent/>
          </w:sdt>
        </w:p>
      </w:sdtContent>
    </w:sdt>
    <w:p w14:paraId="4F5F1661">
      <w:pPr>
        <w:spacing w:line="276" w:lineRule="auto"/>
        <w:jc w:val="both"/>
        <w:rPr>
          <w:rFonts w:ascii="Times New Roman" w:hAnsi="Times New Roman" w:cs="Times New Roman"/>
        </w:rPr>
      </w:pPr>
      <w:sdt>
        <w:sdtPr>
          <w:rPr>
            <w:rFonts w:ascii="Times New Roman" w:hAnsi="Times New Roman" w:cs="Times New Roman"/>
            <w:b/>
            <w:bCs/>
          </w:rPr>
          <w:tag w:val="goog_rdk_118"/>
          <w:id w:val="-1411999350"/>
        </w:sdtPr>
        <w:sdtEndPr>
          <w:rPr>
            <w:rFonts w:ascii="Times New Roman" w:hAnsi="Times New Roman" w:cs="Times New Roman"/>
            <w:b/>
            <w:bCs/>
          </w:rPr>
        </w:sdtEndPr>
        <w:sdtContent>
          <w:r>
            <w:rPr>
              <w:rFonts w:ascii="Times New Roman" w:hAnsi="Times New Roman" w:cs="Times New Roman"/>
              <w:b/>
              <w:bCs/>
            </w:rPr>
            <w:t xml:space="preserve"> </w:t>
          </w:r>
          <w:sdt>
            <w:sdtPr>
              <w:rPr>
                <w:rFonts w:ascii="Times New Roman" w:hAnsi="Times New Roman" w:cs="Times New Roman"/>
                <w:b/>
                <w:bCs/>
              </w:rPr>
              <w:tag w:val="goog_rdk_117"/>
              <w:id w:val="-471213568"/>
            </w:sdtPr>
            <w:sdtEndPr>
              <w:rPr>
                <w:rFonts w:ascii="Times New Roman" w:hAnsi="Times New Roman" w:cs="Times New Roman"/>
                <w:b/>
                <w:bCs/>
              </w:rPr>
            </w:sdtEndPr>
            <w:sdtContent/>
          </w:sdt>
        </w:sdtContent>
      </w:sdt>
      <w:r>
        <w:rPr>
          <w:rFonts w:ascii="Times New Roman" w:hAnsi="Times New Roman" w:cs="Times New Roman"/>
          <w:b/>
          <w:bCs/>
        </w:rPr>
        <w:t>Sexual Exploitation and Abuse /Sexual Harassments (SEA/SH) Grievance Mechanism.</w:t>
      </w:r>
      <w:r>
        <w:rPr>
          <w:rFonts w:ascii="Times New Roman" w:hAnsi="Times New Roman" w:cs="Times New Roman"/>
        </w:rPr>
        <w:t xml:space="preserve"> The project adopts a comprehensive and survivor-centered approach to handling sensitive and confidential complaints, including those related to Sexual Exploitation, Abuse, and Harassment (SEA/SH), in compliance with the World Bank Environmental and Social Framework (ESF) Good Practice Note on SEA/SH. The grievance mechanism (GM) ensures survivors are protected from stigmatization, rejection, and reprisals while providing timely access to support services. </w:t>
      </w:r>
    </w:p>
    <w:p w14:paraId="0DEA6B7F">
      <w:pPr>
        <w:spacing w:line="276" w:lineRule="auto"/>
        <w:jc w:val="both"/>
        <w:rPr>
          <w:rFonts w:ascii="Times New Roman" w:hAnsi="Times New Roman" w:cs="Times New Roman"/>
        </w:rPr>
      </w:pPr>
    </w:p>
    <w:p w14:paraId="752A9BF5">
      <w:pPr>
        <w:jc w:val="both"/>
        <w:rPr>
          <w:rFonts w:ascii="Times New Roman" w:hAnsi="Times New Roman" w:cs="Times New Roman"/>
        </w:rPr>
      </w:pPr>
      <w:r>
        <w:rPr>
          <w:rFonts w:ascii="Times New Roman" w:hAnsi="Times New Roman" w:cs="Times New Roman"/>
        </w:rPr>
        <w:t>SRA and MCS GRM focal points will also act as SEA/SH focal points. The Project SEA/SH focal points before receiving complaints from SEA/SH survivors should provide information on the mandatory reporting obligations under the Moldavian legislation, GM mandate including its limitations and availability of GBV services. This should enable survivors to make informed choices on launching formal complaints through the relevant Project GM.</w:t>
      </w:r>
    </w:p>
    <w:p w14:paraId="7EAE0860">
      <w:pPr>
        <w:jc w:val="both"/>
        <w:rPr>
          <w:rFonts w:ascii="Times New Roman" w:hAnsi="Times New Roman" w:cs="Times New Roman"/>
        </w:rPr>
      </w:pPr>
    </w:p>
    <w:p w14:paraId="75844D2C">
      <w:pPr>
        <w:spacing w:after="120"/>
        <w:jc w:val="both"/>
        <w:rPr>
          <w:rFonts w:ascii="Times New Roman" w:hAnsi="Times New Roman" w:cs="Times New Roman"/>
        </w:rPr>
      </w:pPr>
      <w:r>
        <w:rPr>
          <w:rFonts w:ascii="Times New Roman" w:hAnsi="Times New Roman" w:cs="Times New Roman"/>
        </w:rPr>
        <w:t xml:space="preserve">The Project SEA/SH focal points while receiving a complaint should only ask for the following information: </w:t>
      </w:r>
    </w:p>
    <w:p w14:paraId="6F918C64">
      <w:pPr>
        <w:pStyle w:val="39"/>
        <w:numPr>
          <w:ilvl w:val="0"/>
          <w:numId w:val="7"/>
        </w:numPr>
        <w:spacing w:after="0" w:line="240" w:lineRule="auto"/>
        <w:jc w:val="both"/>
        <w:rPr>
          <w:rFonts w:ascii="Times New Roman" w:hAnsi="Times New Roman" w:cs="Times New Roman"/>
        </w:rPr>
      </w:pPr>
      <w:r>
        <w:rPr>
          <w:rFonts w:ascii="Times New Roman" w:hAnsi="Times New Roman" w:cs="Times New Roman"/>
        </w:rPr>
        <w:t>the nature of the allegation—</w:t>
      </w:r>
      <w:r>
        <w:t xml:space="preserve"> </w:t>
      </w:r>
      <w:r>
        <w:rPr>
          <w:rFonts w:ascii="Times New Roman" w:hAnsi="Times New Roman" w:cs="Times New Roman"/>
        </w:rPr>
        <w:t xml:space="preserve">as expressed by a survivor in her/his own words without direct questioning; </w:t>
      </w:r>
    </w:p>
    <w:p w14:paraId="3DC3B876">
      <w:pPr>
        <w:pStyle w:val="39"/>
        <w:numPr>
          <w:ilvl w:val="0"/>
          <w:numId w:val="7"/>
        </w:numPr>
        <w:spacing w:after="0" w:line="240" w:lineRule="auto"/>
        <w:jc w:val="both"/>
        <w:rPr>
          <w:rFonts w:ascii="Times New Roman" w:hAnsi="Times New Roman" w:cs="Times New Roman"/>
        </w:rPr>
      </w:pPr>
      <w:r>
        <w:rPr>
          <w:rFonts w:ascii="Times New Roman" w:hAnsi="Times New Roman" w:cs="Times New Roman"/>
        </w:rPr>
        <w:t xml:space="preserve">if, to the best of the survivor’s knowledge, the perpetrator is associated with the project; </w:t>
      </w:r>
    </w:p>
    <w:p w14:paraId="18886282">
      <w:pPr>
        <w:pStyle w:val="39"/>
        <w:numPr>
          <w:ilvl w:val="0"/>
          <w:numId w:val="7"/>
        </w:numPr>
        <w:spacing w:after="0" w:line="240" w:lineRule="auto"/>
        <w:jc w:val="both"/>
        <w:rPr>
          <w:rFonts w:ascii="Times New Roman" w:hAnsi="Times New Roman" w:cs="Times New Roman"/>
        </w:rPr>
      </w:pPr>
      <w:r>
        <w:rPr>
          <w:rFonts w:ascii="Times New Roman" w:hAnsi="Times New Roman" w:cs="Times New Roman"/>
        </w:rPr>
        <w:t xml:space="preserve">when possible, the age and sex of a survivor; and </w:t>
      </w:r>
    </w:p>
    <w:p w14:paraId="4337CE52">
      <w:pPr>
        <w:pStyle w:val="39"/>
        <w:numPr>
          <w:ilvl w:val="0"/>
          <w:numId w:val="7"/>
        </w:numPr>
        <w:spacing w:after="0" w:line="240" w:lineRule="auto"/>
        <w:jc w:val="both"/>
        <w:rPr>
          <w:rFonts w:ascii="Times New Roman" w:hAnsi="Times New Roman" w:cs="Times New Roman"/>
        </w:rPr>
      </w:pPr>
      <w:r>
        <w:rPr>
          <w:rFonts w:ascii="Times New Roman" w:hAnsi="Times New Roman" w:cs="Times New Roman"/>
        </w:rPr>
        <w:t xml:space="preserve">when possible, information about whether the survivor was referred to services. </w:t>
      </w:r>
    </w:p>
    <w:p w14:paraId="4EF3095D">
      <w:pPr>
        <w:pStyle w:val="52"/>
        <w:rPr>
          <w:rFonts w:ascii="Times New Roman" w:hAnsi="Times New Roman" w:cs="Times New Roman"/>
          <w:color w:val="auto"/>
          <w:sz w:val="22"/>
          <w:szCs w:val="22"/>
          <w:lang w:val="nl-BE" w:eastAsia="nl-BE"/>
        </w:rPr>
      </w:pPr>
    </w:p>
    <w:p w14:paraId="5CBB0C00">
      <w:pPr>
        <w:pStyle w:val="52"/>
        <w:jc w:val="both"/>
        <w:rPr>
          <w:rFonts w:ascii="Times New Roman" w:hAnsi="Times New Roman" w:cs="Times New Roman"/>
          <w:color w:val="auto"/>
          <w:sz w:val="22"/>
          <w:szCs w:val="22"/>
          <w:lang w:val="nl-BE" w:eastAsia="nl-BE"/>
        </w:rPr>
      </w:pPr>
      <w:r>
        <w:rPr>
          <w:rFonts w:ascii="Times New Roman" w:hAnsi="Times New Roman" w:cs="Times New Roman"/>
          <w:color w:val="auto"/>
          <w:sz w:val="22"/>
          <w:szCs w:val="22"/>
          <w:lang w:val="nl-BE" w:eastAsia="nl-BE"/>
        </w:rPr>
        <w:t xml:space="preserve">After receiving a complaint the Project SEA/SH focal points promptly refer the survivor to the specialized GBV service(s) (health, legal, psychosocial, security and other assistance) after obtaining her/his consent. The concent form is attached as an Annex 3. If the survivor is below 18 years of age, the consent of his/her parents/guardian is required. Referral to services depends on the consent, needs and choices of the survivor. </w:t>
      </w:r>
    </w:p>
    <w:p w14:paraId="0EC84654">
      <w:pPr>
        <w:pStyle w:val="52"/>
        <w:jc w:val="both"/>
        <w:rPr>
          <w:rFonts w:ascii="Times New Roman" w:hAnsi="Times New Roman" w:cs="Times New Roman"/>
          <w:color w:val="auto"/>
          <w:sz w:val="22"/>
          <w:szCs w:val="22"/>
          <w:lang w:val="nl-BE" w:eastAsia="nl-BE"/>
        </w:rPr>
      </w:pPr>
    </w:p>
    <w:p w14:paraId="343EAE54">
      <w:pPr>
        <w:pStyle w:val="52"/>
        <w:jc w:val="both"/>
        <w:rPr>
          <w:rFonts w:ascii="Times New Roman" w:hAnsi="Times New Roman" w:cs="Times New Roman"/>
          <w:color w:val="auto"/>
          <w:sz w:val="22"/>
          <w:szCs w:val="22"/>
          <w:lang w:val="nl-BE" w:eastAsia="nl-BE"/>
        </w:rPr>
      </w:pPr>
      <w:r>
        <w:rPr>
          <w:rFonts w:ascii="Times New Roman" w:hAnsi="Times New Roman" w:cs="Times New Roman"/>
          <w:color w:val="auto"/>
          <w:sz w:val="22"/>
          <w:szCs w:val="22"/>
          <w:lang w:val="nl-BE" w:eastAsia="nl-BE"/>
        </w:rPr>
        <w:t xml:space="preserve">The list of local service providers will be indicated during Project Implementation and before commencing any civil works.  </w:t>
      </w:r>
    </w:p>
    <w:p w14:paraId="63B28DA0">
      <w:pPr>
        <w:jc w:val="both"/>
        <w:rPr>
          <w:rFonts w:ascii="Times New Roman" w:hAnsi="Times New Roman" w:cs="Times New Roman"/>
        </w:rPr>
      </w:pPr>
    </w:p>
    <w:p w14:paraId="53F02D68">
      <w:pPr>
        <w:spacing w:line="276" w:lineRule="auto"/>
        <w:jc w:val="both"/>
        <w:rPr>
          <w:rFonts w:ascii="Times New Roman" w:hAnsi="Times New Roman" w:cs="Times New Roman"/>
        </w:rPr>
      </w:pPr>
      <w:r>
        <w:rPr>
          <w:rFonts w:ascii="Times New Roman" w:hAnsi="Times New Roman" w:cs="Times New Roman"/>
        </w:rPr>
        <w:t>Project Implementing Units (PIUs), contractors, and sub-contractors are responsible for creating a safe and enabling environment where survivors and community members can report incidents without fear of retaliation, trusting that perpetrators will be held accountable.</w:t>
      </w:r>
    </w:p>
    <w:p w14:paraId="400AD968">
      <w:pPr>
        <w:spacing w:line="276" w:lineRule="auto"/>
        <w:jc w:val="both"/>
        <w:rPr>
          <w:rFonts w:ascii="Times New Roman" w:hAnsi="Times New Roman" w:cs="Times New Roman"/>
        </w:rPr>
      </w:pPr>
      <w:r>
        <w:rPr>
          <w:rFonts w:ascii="Times New Roman" w:hAnsi="Times New Roman" w:cs="Times New Roman"/>
        </w:rPr>
        <w:t>Before further action, the receivers of complaints must obtain explicit consent from the survivor. The consent form is attached as an Annex 3. To properly manage SEA/SH GRM, PIU staff, GBV focal points, contractors, and supervising engineers will be trained before commencing any civil works.</w:t>
      </w:r>
    </w:p>
    <w:p w14:paraId="7B433076">
      <w:pPr>
        <w:spacing w:line="276" w:lineRule="auto"/>
        <w:jc w:val="both"/>
        <w:rPr>
          <w:rFonts w:ascii="Times New Roman" w:hAnsi="Times New Roman" w:cs="Times New Roman"/>
        </w:rPr>
      </w:pPr>
    </w:p>
    <w:p w14:paraId="5BA71C39">
      <w:pPr>
        <w:spacing w:line="276" w:lineRule="auto"/>
        <w:jc w:val="both"/>
        <w:rPr>
          <w:rFonts w:ascii="Times New Roman" w:hAnsi="Times New Roman" w:cs="Times New Roman"/>
        </w:rPr>
      </w:pPr>
      <w:r>
        <w:rPr>
          <w:rFonts w:ascii="Times New Roman" w:hAnsi="Times New Roman" w:cs="Times New Roman"/>
        </w:rPr>
        <w:t>Upon receiving compliance and consent from survivor, SEA/SH complaints will be  logged in a password-protected electronic system maintained by SRA and MCS GRM focal points who will also act as SEA/SH GRM focal point, ensuring confidentiality.</w:t>
      </w:r>
    </w:p>
    <w:p w14:paraId="34F28C34">
      <w:pPr>
        <w:spacing w:line="276" w:lineRule="auto"/>
        <w:jc w:val="both"/>
        <w:rPr>
          <w:rFonts w:ascii="Times New Roman" w:hAnsi="Times New Roman" w:cs="Times New Roman"/>
        </w:rPr>
      </w:pPr>
      <w:r>
        <w:rPr>
          <w:rFonts w:ascii="Times New Roman" w:hAnsi="Times New Roman" w:cs="Times New Roman"/>
        </w:rPr>
        <w:t>Key responsibilities of SEA/SH focal points include:</w:t>
      </w:r>
    </w:p>
    <w:p w14:paraId="57F96408">
      <w:pPr>
        <w:numPr>
          <w:ilvl w:val="0"/>
          <w:numId w:val="8"/>
        </w:numPr>
        <w:spacing w:after="0" w:line="276" w:lineRule="auto"/>
        <w:jc w:val="both"/>
        <w:rPr>
          <w:rFonts w:ascii="Times New Roman" w:hAnsi="Times New Roman" w:cs="Times New Roman"/>
        </w:rPr>
      </w:pPr>
      <w:r>
        <w:rPr>
          <w:rFonts w:ascii="Times New Roman" w:hAnsi="Times New Roman" w:cs="Times New Roman"/>
        </w:rPr>
        <w:t>Acknowledging and registering complaints in the GM log.</w:t>
      </w:r>
    </w:p>
    <w:p w14:paraId="157F6924">
      <w:pPr>
        <w:numPr>
          <w:ilvl w:val="0"/>
          <w:numId w:val="8"/>
        </w:numPr>
        <w:spacing w:after="0" w:line="276" w:lineRule="auto"/>
        <w:jc w:val="both"/>
        <w:rPr>
          <w:rFonts w:ascii="Times New Roman" w:hAnsi="Times New Roman" w:cs="Times New Roman"/>
        </w:rPr>
      </w:pPr>
      <w:r>
        <w:rPr>
          <w:rFonts w:ascii="Times New Roman" w:hAnsi="Times New Roman" w:cs="Times New Roman"/>
        </w:rPr>
        <w:t>Referring survivors to GBV service providers, with their consent.</w:t>
      </w:r>
    </w:p>
    <w:p w14:paraId="53F14293">
      <w:pPr>
        <w:numPr>
          <w:ilvl w:val="0"/>
          <w:numId w:val="8"/>
        </w:numPr>
        <w:spacing w:after="0" w:line="276" w:lineRule="auto"/>
        <w:jc w:val="both"/>
        <w:rPr>
          <w:rFonts w:ascii="Times New Roman" w:hAnsi="Times New Roman" w:cs="Times New Roman"/>
        </w:rPr>
      </w:pPr>
      <w:r>
        <w:rPr>
          <w:rFonts w:ascii="Times New Roman" w:hAnsi="Times New Roman" w:cs="Times New Roman"/>
        </w:rPr>
        <w:t>Reporting incidents to law enforcement, as mandated by Moldovan law, and obtaining survivor consent where applicable.</w:t>
      </w:r>
    </w:p>
    <w:p w14:paraId="6993D997">
      <w:pPr>
        <w:spacing w:line="276" w:lineRule="auto"/>
        <w:jc w:val="both"/>
        <w:rPr>
          <w:rFonts w:ascii="Times New Roman" w:hAnsi="Times New Roman" w:cs="Times New Roman"/>
        </w:rPr>
      </w:pPr>
    </w:p>
    <w:p w14:paraId="680F6E0A">
      <w:pPr>
        <w:spacing w:line="276" w:lineRule="auto"/>
        <w:jc w:val="both"/>
        <w:rPr>
          <w:rFonts w:ascii="Times New Roman" w:hAnsi="Times New Roman" w:cs="Times New Roman"/>
        </w:rPr>
      </w:pPr>
      <w:r>
        <w:rPr>
          <w:rFonts w:ascii="Times New Roman" w:hAnsi="Times New Roman" w:cs="Times New Roman"/>
        </w:rPr>
        <w:t>To ensure widespread knowledge of the GM information on reporting procedures is displayed in easily accessible public venues, including project sites, municipal offices, healthcare facilities, and GBV service organizations. PIUs, contractors, and sub-contractors disseminate information through training, awareness campaigns, and informational materials.</w:t>
      </w:r>
    </w:p>
    <w:p w14:paraId="32FD5CF6">
      <w:pPr>
        <w:spacing w:line="276" w:lineRule="auto"/>
        <w:jc w:val="both"/>
        <w:rPr>
          <w:rFonts w:ascii="Times New Roman" w:hAnsi="Times New Roman" w:cs="Times New Roman"/>
        </w:rPr>
      </w:pPr>
    </w:p>
    <w:p w14:paraId="3CE40F5A">
      <w:pPr>
        <w:spacing w:line="276" w:lineRule="auto"/>
        <w:jc w:val="both"/>
        <w:rPr>
          <w:rFonts w:ascii="Times New Roman" w:hAnsi="Times New Roman" w:cs="Times New Roman"/>
        </w:rPr>
      </w:pPr>
      <w:r>
        <w:rPr>
          <w:rFonts w:ascii="Times New Roman" w:hAnsi="Times New Roman" w:cs="Times New Roman"/>
        </w:rPr>
        <w:t>The contractors are responsible for developing and implementing a robust SEA/SH procedure to ensure effective prevention, response, and management of SEA/SH risks within the project. This procedure must align with the project’s grievance mechanism (GM) and adhere to the principles of confidentiality, survivor-centered approaches, and compliance with national legislation. The contractor is tasked with fostering an environment that encourages reporting without fear of retaliation by disseminating clear information on reporting channels, conducting awareness campaigns, and providing training to all workers on SEA/SH prevention and response. Additionally, the contractor must establish a system for promptly referring survivors to specialized GBV service providers and ensure that all SEA/SH complaints are properly recorded and handled with the utmost confidentiality. The contractor is also expected to collaborate with project stakeholders, including the PIUs and supervising engineers, to maintain a comprehensive and accessible grievance mechanism while ensuring adherence to mandatory reporting requirements and survivor consent protocols. More detailed procedure will be elaborated in ESMP and Contractor ESMP.</w:t>
      </w:r>
    </w:p>
    <w:p w14:paraId="142DBC33">
      <w:pPr>
        <w:widowControl w:val="0"/>
        <w:pBdr>
          <w:top w:val="none" w:color="auto" w:sz="0" w:space="0"/>
          <w:left w:val="none" w:color="auto" w:sz="0" w:space="0"/>
          <w:bottom w:val="none" w:color="auto" w:sz="0" w:space="0"/>
          <w:right w:val="none" w:color="auto" w:sz="0" w:space="0"/>
          <w:between w:val="none" w:color="auto" w:sz="0" w:space="0"/>
        </w:pBdr>
        <w:spacing w:line="276" w:lineRule="auto"/>
        <w:jc w:val="both"/>
        <w:rPr>
          <w:rFonts w:ascii="Times New Roman" w:hAnsi="Times New Roman" w:cs="Times New Roman"/>
          <w:color w:val="000000"/>
        </w:rPr>
      </w:pPr>
    </w:p>
    <w:p w14:paraId="3999B576">
      <w:pPr>
        <w:pStyle w:val="3"/>
        <w:spacing w:before="0" w:line="276" w:lineRule="auto"/>
        <w:rPr>
          <w:rFonts w:ascii="Times New Roman" w:hAnsi="Times New Roman" w:eastAsia="Times New Roman" w:cs="Times New Roman"/>
          <w:sz w:val="22"/>
          <w:szCs w:val="22"/>
        </w:rPr>
      </w:pPr>
      <w:bookmarkStart w:id="9" w:name="_heading=h.3znysh7" w:colFirst="0" w:colLast="0"/>
      <w:bookmarkEnd w:id="9"/>
      <w:bookmarkStart w:id="10" w:name="_Toc184883429"/>
      <w:r>
        <w:rPr>
          <w:rFonts w:ascii="Times New Roman" w:hAnsi="Times New Roman" w:eastAsia="Times New Roman" w:cs="Times New Roman"/>
          <w:sz w:val="22"/>
          <w:szCs w:val="22"/>
        </w:rPr>
        <w:t>Grievance Log</w:t>
      </w:r>
      <w:bookmarkEnd w:id="10"/>
    </w:p>
    <w:p w14:paraId="3D606F2F">
      <w:pPr>
        <w:spacing w:line="276" w:lineRule="auto"/>
        <w:jc w:val="both"/>
        <w:rPr>
          <w:rFonts w:ascii="Times New Roman" w:hAnsi="Times New Roman" w:cs="Times New Roman"/>
        </w:rPr>
      </w:pPr>
      <w:r>
        <w:rPr>
          <w:rFonts w:ascii="Times New Roman" w:hAnsi="Times New Roman" w:cs="Times New Roman"/>
        </w:rPr>
        <w:t>It is important that all complaints, including the anonymous ones, to be recorded in writing and stored in a database.  Each grievance should be assigned with an individual reference number and appropriately tracked and recorded actions are completed. The all grievances submitted will be registered / entered into a unique register/database. The directly received grievances from local level will also be sent to SRA/MCS for registration in the unique register. SRA/MCS will be the grievance focal point of this Project. Thus, SRA/MCS will collect the grievances and further will direct them to the local level or to the Project level for examination and solution depending on the subject and location of the grievance.</w:t>
      </w:r>
    </w:p>
    <w:p w14:paraId="379636DD">
      <w:pPr>
        <w:spacing w:line="276" w:lineRule="auto"/>
        <w:ind w:firstLine="426"/>
        <w:jc w:val="both"/>
        <w:rPr>
          <w:rFonts w:ascii="Times New Roman" w:hAnsi="Times New Roman" w:cs="Times New Roman"/>
        </w:rPr>
      </w:pPr>
      <w:r>
        <w:rPr>
          <w:rFonts w:ascii="Times New Roman" w:hAnsi="Times New Roman" w:cs="Times New Roman"/>
        </w:rPr>
        <w:t>A simple database will be developed under the Project to manage and monitor the grievances. The documentation on grievances will include:</w:t>
      </w:r>
    </w:p>
    <w:p w14:paraId="18C39F7E">
      <w:pPr>
        <w:spacing w:line="276" w:lineRule="auto"/>
        <w:ind w:left="709" w:hanging="283"/>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r>
      <w:r>
        <w:rPr>
          <w:rFonts w:ascii="Times New Roman" w:hAnsi="Times New Roman" w:cs="Times New Roman"/>
        </w:rPr>
        <w:t>the name and contact details of the complainant;</w:t>
      </w:r>
    </w:p>
    <w:p w14:paraId="23CA6B22">
      <w:pPr>
        <w:spacing w:line="276" w:lineRule="auto"/>
        <w:ind w:left="709" w:hanging="283"/>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r>
      <w:r>
        <w:rPr>
          <w:rFonts w:ascii="Times New Roman" w:hAnsi="Times New Roman" w:cs="Times New Roman"/>
        </w:rPr>
        <w:t>the date and nature of the complaint;</w:t>
      </w:r>
    </w:p>
    <w:p w14:paraId="277CC055">
      <w:pPr>
        <w:spacing w:line="276" w:lineRule="auto"/>
        <w:ind w:left="709" w:hanging="283"/>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r>
      <w:r>
        <w:rPr>
          <w:rFonts w:ascii="Times New Roman" w:hAnsi="Times New Roman" w:cs="Times New Roman"/>
        </w:rPr>
        <w:t>the group charged with addressing the complaint;</w:t>
      </w:r>
    </w:p>
    <w:p w14:paraId="77EB5391">
      <w:pPr>
        <w:spacing w:line="276" w:lineRule="auto"/>
        <w:ind w:left="709" w:hanging="283"/>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r>
      <w:r>
        <w:rPr>
          <w:rFonts w:ascii="Times New Roman" w:hAnsi="Times New Roman" w:cs="Times New Roman"/>
        </w:rPr>
        <w:t>any follow up actions taken;</w:t>
      </w:r>
    </w:p>
    <w:p w14:paraId="19F1E7F3">
      <w:pPr>
        <w:spacing w:line="276" w:lineRule="auto"/>
        <w:ind w:left="709" w:hanging="283"/>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r>
      <w:r>
        <w:rPr>
          <w:rFonts w:ascii="Times New Roman" w:hAnsi="Times New Roman" w:cs="Times New Roman"/>
        </w:rPr>
        <w:t>the proposed resolution of the complaint; and</w:t>
      </w:r>
    </w:p>
    <w:p w14:paraId="705C1BEF">
      <w:pPr>
        <w:spacing w:line="276" w:lineRule="auto"/>
        <w:ind w:left="709" w:hanging="283"/>
        <w:jc w:val="both"/>
        <w:rPr>
          <w:rFonts w:ascii="Times New Roman" w:hAnsi="Times New Roman" w:cs="Times New Roman"/>
        </w:rPr>
      </w:pPr>
      <w:r>
        <w:rPr>
          <w:rFonts w:ascii="Times New Roman" w:hAnsi="Times New Roman" w:cs="Times New Roman"/>
        </w:rPr>
        <w:t>•</w:t>
      </w:r>
      <w:r>
        <w:rPr>
          <w:rFonts w:ascii="Times New Roman" w:hAnsi="Times New Roman" w:cs="Times New Roman"/>
        </w:rPr>
        <w:tab/>
      </w:r>
      <w:r>
        <w:rPr>
          <w:rFonts w:ascii="Times New Roman" w:hAnsi="Times New Roman" w:cs="Times New Roman"/>
        </w:rPr>
        <w:t>how and when relevant Project decisions were communicated to the complainants.</w:t>
      </w:r>
    </w:p>
    <w:p w14:paraId="18A884AE">
      <w:pPr>
        <w:spacing w:line="276" w:lineRule="auto"/>
        <w:ind w:left="709" w:hanging="283"/>
        <w:jc w:val="both"/>
        <w:rPr>
          <w:rFonts w:ascii="Times New Roman" w:hAnsi="Times New Roman" w:cs="Times New Roman"/>
        </w:rPr>
      </w:pPr>
    </w:p>
    <w:p w14:paraId="13F6CD92">
      <w:pPr>
        <w:spacing w:line="276" w:lineRule="auto"/>
        <w:ind w:firstLine="426"/>
        <w:jc w:val="both"/>
        <w:rPr>
          <w:rFonts w:ascii="Times New Roman" w:hAnsi="Times New Roman" w:cs="Times New Roman"/>
        </w:rPr>
      </w:pPr>
      <w:sdt>
        <w:sdtPr>
          <w:rPr>
            <w:rFonts w:ascii="Times New Roman" w:hAnsi="Times New Roman" w:cs="Times New Roman"/>
          </w:rPr>
          <w:tag w:val="goog_rdk_148"/>
          <w:id w:val="1569997421"/>
        </w:sdtPr>
        <w:sdtEndPr>
          <w:rPr>
            <w:rFonts w:ascii="Times New Roman" w:hAnsi="Times New Roman" w:cs="Times New Roman"/>
          </w:rPr>
        </w:sdtEndPr>
        <w:sdtContent/>
      </w:sdt>
      <w:sdt>
        <w:sdtPr>
          <w:rPr>
            <w:rFonts w:ascii="Times New Roman" w:hAnsi="Times New Roman" w:cs="Times New Roman"/>
          </w:rPr>
          <w:tag w:val="goog_rdk_149"/>
          <w:id w:val="-1467191740"/>
        </w:sdtPr>
        <w:sdtEndPr>
          <w:rPr>
            <w:rFonts w:ascii="Times New Roman" w:hAnsi="Times New Roman" w:cs="Times New Roman"/>
          </w:rPr>
        </w:sdtEndPr>
        <w:sdtContent/>
      </w:sdt>
      <w:r>
        <w:rPr>
          <w:rFonts w:ascii="Times New Roman" w:hAnsi="Times New Roman" w:cs="Times New Roman"/>
        </w:rPr>
        <w:t>For the verbal grievances, it will be suggested to the complainant to use the number phone to record a verbal message.  The project will also facilitate assistance to the complainant in transcribing a written complaint, as needed.   To ensure inclusiveness and accessibility, allowing everyone to participate effectively in the complaints process, both institutions have a hotline where people can register their complaints verbally, which staff can then document in writing.</w:t>
      </w:r>
    </w:p>
    <w:p w14:paraId="7E392304">
      <w:pPr>
        <w:spacing w:line="276" w:lineRule="auto"/>
        <w:ind w:firstLine="426"/>
        <w:jc w:val="both"/>
        <w:rPr>
          <w:rFonts w:ascii="Times New Roman" w:hAnsi="Times New Roman" w:cs="Times New Roman"/>
        </w:rPr>
      </w:pPr>
      <w:r>
        <w:rPr>
          <w:rFonts w:ascii="Times New Roman" w:hAnsi="Times New Roman" w:cs="Times New Roman"/>
        </w:rPr>
        <w:t xml:space="preserve">The Grievance log will be submitted to the Bank of quarterly basis for review. The template of the GRM log is attached as an Annex 2. </w:t>
      </w:r>
    </w:p>
    <w:p w14:paraId="71014D81">
      <w:pPr>
        <w:rPr>
          <w:rFonts w:ascii="Times New Roman" w:hAnsi="Times New Roman" w:cs="Times New Roman"/>
        </w:rPr>
      </w:pPr>
    </w:p>
    <w:p w14:paraId="5A075435">
      <w:pPr>
        <w:pStyle w:val="3"/>
        <w:spacing w:before="0" w:line="276" w:lineRule="auto"/>
        <w:rPr>
          <w:rFonts w:ascii="Times New Roman" w:hAnsi="Times New Roman" w:eastAsia="Times New Roman" w:cs="Times New Roman"/>
          <w:sz w:val="22"/>
          <w:szCs w:val="22"/>
        </w:rPr>
      </w:pPr>
    </w:p>
    <w:p w14:paraId="66366951">
      <w:pPr>
        <w:pStyle w:val="3"/>
        <w:spacing w:before="0" w:line="276" w:lineRule="auto"/>
        <w:rPr>
          <w:rFonts w:ascii="Times New Roman" w:hAnsi="Times New Roman" w:eastAsia="Times New Roman" w:cs="Times New Roman"/>
          <w:sz w:val="22"/>
          <w:szCs w:val="22"/>
        </w:rPr>
      </w:pPr>
      <w:bookmarkStart w:id="11" w:name="_heading=h.2et92p0" w:colFirst="0" w:colLast="0"/>
      <w:bookmarkEnd w:id="11"/>
      <w:bookmarkStart w:id="12" w:name="_Toc184883430"/>
      <w:r>
        <w:rPr>
          <w:rFonts w:ascii="Times New Roman" w:hAnsi="Times New Roman" w:eastAsia="Times New Roman" w:cs="Times New Roman"/>
          <w:sz w:val="22"/>
          <w:szCs w:val="22"/>
        </w:rPr>
        <w:t>Awareness Building and Capacity building</w:t>
      </w:r>
      <w:bookmarkEnd w:id="12"/>
    </w:p>
    <w:p w14:paraId="50733020">
      <w:pPr>
        <w:spacing w:line="276" w:lineRule="auto"/>
        <w:rPr>
          <w:rFonts w:ascii="Times New Roman" w:hAnsi="Times New Roman" w:cs="Times New Roman"/>
        </w:rPr>
      </w:pPr>
    </w:p>
    <w:p w14:paraId="6E0A2472">
      <w:pPr>
        <w:spacing w:line="276" w:lineRule="auto"/>
        <w:jc w:val="both"/>
        <w:rPr>
          <w:rFonts w:ascii="Times New Roman" w:hAnsi="Times New Roman" w:cs="Times New Roman"/>
        </w:rPr>
      </w:pPr>
      <w:r>
        <w:rPr>
          <w:rFonts w:ascii="Times New Roman" w:hAnsi="Times New Roman" w:cs="Times New Roman"/>
        </w:rPr>
        <w:t>Dedicated communication materials, such as GRM pamphlets and posters, will be developed to help local residents familiarize themselves with the grievance redress channels and procedures. A GRM guidebook/manual will also be prepared for SIMCs, and suggestion boxes will be installed in each affected community ensuring that anonymous grievances also could be submitted.</w:t>
      </w:r>
    </w:p>
    <w:p w14:paraId="16252E0A">
      <w:pPr>
        <w:spacing w:line="276" w:lineRule="auto"/>
        <w:jc w:val="both"/>
        <w:rPr>
          <w:rFonts w:ascii="Times New Roman" w:hAnsi="Times New Roman" w:cs="Times New Roman"/>
        </w:rPr>
      </w:pPr>
    </w:p>
    <w:p w14:paraId="2B63FC97">
      <w:pPr>
        <w:spacing w:line="276" w:lineRule="auto"/>
        <w:jc w:val="both"/>
        <w:rPr>
          <w:rFonts w:ascii="Times New Roman" w:hAnsi="Times New Roman" w:cs="Times New Roman"/>
        </w:rPr>
      </w:pPr>
      <w:r>
        <w:rPr>
          <w:rFonts w:ascii="Times New Roman" w:hAnsi="Times New Roman" w:cs="Times New Roman"/>
        </w:rPr>
        <w:t>The PIU’s website will provide clear information on how stakeholders can submit feedback, questions, comments, concerns, and grievances. It will also offer the option to submit grievances electronically. Additionally, the website will include details on how the GRM committee operates, including its processes and deadlines.</w:t>
      </w:r>
    </w:p>
    <w:p w14:paraId="35DE0738">
      <w:pPr>
        <w:spacing w:line="276" w:lineRule="auto"/>
        <w:jc w:val="both"/>
        <w:rPr>
          <w:rFonts w:ascii="Times New Roman" w:hAnsi="Times New Roman" w:cs="Times New Roman"/>
        </w:rPr>
      </w:pPr>
    </w:p>
    <w:p w14:paraId="21C7CB6F">
      <w:pPr>
        <w:spacing w:line="276" w:lineRule="auto"/>
        <w:jc w:val="both"/>
        <w:rPr>
          <w:rFonts w:ascii="Times New Roman" w:hAnsi="Times New Roman" w:cs="Times New Roman"/>
        </w:rPr>
      </w:pPr>
      <w:r>
        <w:rPr>
          <w:rFonts w:ascii="Times New Roman" w:hAnsi="Times New Roman" w:cs="Times New Roman"/>
        </w:rPr>
        <w:t>The information about the Grievance Redress Mechanism will be available at the online platform and will be included in the communications conducted with the project stakeholders through the communications methods and tools that are part of this stakeholder engagement plan and communications plan under the project, including emails, website, workshops, meetings, consultations, etc.</w:t>
      </w:r>
    </w:p>
    <w:p w14:paraId="08D41DDF">
      <w:pPr>
        <w:spacing w:line="276" w:lineRule="auto"/>
        <w:jc w:val="both"/>
        <w:rPr>
          <w:rFonts w:ascii="Times New Roman" w:hAnsi="Times New Roman" w:cs="Times New Roman"/>
        </w:rPr>
      </w:pPr>
    </w:p>
    <w:p w14:paraId="4C8A9E7F">
      <w:pPr>
        <w:rPr>
          <w:rFonts w:ascii="Times New Roman" w:hAnsi="Times New Roman" w:cs="Times New Roman"/>
        </w:rPr>
      </w:pPr>
      <w:r>
        <w:rPr>
          <w:rFonts w:ascii="Times New Roman" w:hAnsi="Times New Roman" w:cs="Times New Roman"/>
        </w:rPr>
        <w:t xml:space="preserve">The SRA/MCS GRM Focal Points will train other team members and departments on these grievance handling processes and principles.   </w:t>
      </w:r>
    </w:p>
    <w:p w14:paraId="7CEF4799">
      <w:pPr>
        <w:spacing w:line="276" w:lineRule="auto"/>
        <w:jc w:val="both"/>
        <w:rPr>
          <w:rFonts w:ascii="Times New Roman" w:hAnsi="Times New Roman" w:cs="Times New Roman"/>
        </w:rPr>
      </w:pPr>
    </w:p>
    <w:p w14:paraId="029AB425">
      <w:pPr>
        <w:spacing w:line="276" w:lineRule="auto"/>
        <w:jc w:val="both"/>
        <w:rPr>
          <w:rFonts w:ascii="Times New Roman" w:hAnsi="Times New Roman" w:cs="Times New Roman"/>
        </w:rPr>
      </w:pPr>
    </w:p>
    <w:p w14:paraId="03FD90CA">
      <w:pPr>
        <w:pStyle w:val="3"/>
        <w:spacing w:before="0" w:line="276" w:lineRule="auto"/>
        <w:rPr>
          <w:rFonts w:ascii="Times New Roman" w:hAnsi="Times New Roman" w:eastAsia="Times New Roman" w:cs="Times New Roman"/>
          <w:sz w:val="22"/>
          <w:szCs w:val="22"/>
        </w:rPr>
      </w:pPr>
      <w:bookmarkStart w:id="13" w:name="_Toc184883431"/>
      <w:sdt>
        <w:sdtPr>
          <w:rPr>
            <w:rFonts w:ascii="Times New Roman" w:hAnsi="Times New Roman" w:cs="Times New Roman"/>
            <w:sz w:val="22"/>
            <w:szCs w:val="22"/>
          </w:rPr>
          <w:tag w:val="goog_rdk_152"/>
          <w:id w:val="-328978462"/>
        </w:sdtPr>
        <w:sdtEndPr>
          <w:rPr>
            <w:rFonts w:ascii="Times New Roman" w:hAnsi="Times New Roman" w:cs="Times New Roman"/>
            <w:sz w:val="22"/>
            <w:szCs w:val="22"/>
          </w:rPr>
        </w:sdtEndPr>
        <w:sdtContent>
          <w:sdt>
            <w:sdtPr>
              <w:rPr>
                <w:rFonts w:ascii="Times New Roman" w:hAnsi="Times New Roman" w:cs="Times New Roman"/>
                <w:sz w:val="22"/>
                <w:szCs w:val="22"/>
              </w:rPr>
              <w:tag w:val="goog_rdk_151"/>
              <w:id w:val="1671599129"/>
            </w:sdtPr>
            <w:sdtEndPr>
              <w:rPr>
                <w:rFonts w:ascii="Times New Roman" w:hAnsi="Times New Roman" w:cs="Times New Roman"/>
                <w:sz w:val="22"/>
                <w:szCs w:val="22"/>
              </w:rPr>
            </w:sdtEndPr>
            <w:sdtContent/>
          </w:sdt>
        </w:sdtContent>
      </w:sdt>
      <w:bookmarkStart w:id="14" w:name="_heading=h.tyjcwt" w:colFirst="0" w:colLast="0"/>
      <w:bookmarkEnd w:id="14"/>
      <w:r>
        <w:rPr>
          <w:rFonts w:ascii="Times New Roman" w:hAnsi="Times New Roman" w:eastAsia="Times New Roman" w:cs="Times New Roman"/>
          <w:sz w:val="22"/>
          <w:szCs w:val="22"/>
        </w:rPr>
        <w:t>Monitoring and reporting on GRM implementation</w:t>
      </w:r>
      <w:bookmarkEnd w:id="13"/>
    </w:p>
    <w:p w14:paraId="1F05F3D7">
      <w:pPr>
        <w:spacing w:line="276" w:lineRule="auto"/>
        <w:jc w:val="both"/>
        <w:rPr>
          <w:rFonts w:ascii="Times New Roman" w:hAnsi="Times New Roman" w:cs="Times New Roman"/>
        </w:rPr>
      </w:pPr>
      <w:sdt>
        <w:sdtPr>
          <w:rPr>
            <w:rFonts w:ascii="Times New Roman" w:hAnsi="Times New Roman" w:cs="Times New Roman"/>
          </w:rPr>
          <w:tag w:val="goog_rdk_155"/>
          <w:id w:val="-238256112"/>
        </w:sdtPr>
        <w:sdtEndPr>
          <w:rPr>
            <w:rFonts w:ascii="Times New Roman" w:hAnsi="Times New Roman" w:cs="Times New Roman"/>
          </w:rPr>
        </w:sdtEndPr>
        <w:sdtContent>
          <w:sdt>
            <w:sdtPr>
              <w:rPr>
                <w:rFonts w:ascii="Times New Roman" w:hAnsi="Times New Roman" w:cs="Times New Roman"/>
              </w:rPr>
              <w:tag w:val="goog_rdk_154"/>
              <w:id w:val="952677164"/>
            </w:sdtPr>
            <w:sdtEndPr>
              <w:rPr>
                <w:rFonts w:ascii="Times New Roman" w:hAnsi="Times New Roman" w:cs="Times New Roman"/>
              </w:rPr>
            </w:sdtEndPr>
            <w:sdtContent/>
          </w:sdt>
        </w:sdtContent>
      </w:sdt>
      <w:r>
        <w:rPr>
          <w:rFonts w:ascii="Times New Roman" w:hAnsi="Times New Roman" w:cs="Times New Roman"/>
        </w:rPr>
        <w:t xml:space="preserve">Policies, procedures and regular updates on the GRM system will be made available for all stakeholders. The GRM Focal Points will regularly track and monitor the status of complaints to ensure that all grievances are resolved within the established timeframe. </w:t>
      </w:r>
    </w:p>
    <w:p w14:paraId="42684D71">
      <w:pPr>
        <w:spacing w:line="276" w:lineRule="auto"/>
        <w:jc w:val="both"/>
        <w:rPr>
          <w:rFonts w:ascii="Times New Roman" w:hAnsi="Times New Roman" w:cs="Times New Roman"/>
        </w:rPr>
      </w:pPr>
    </w:p>
    <w:p w14:paraId="366FD170">
      <w:pPr>
        <w:spacing w:line="276" w:lineRule="auto"/>
        <w:jc w:val="both"/>
        <w:rPr>
          <w:rFonts w:ascii="Times New Roman" w:hAnsi="Times New Roman" w:cs="Times New Roman"/>
        </w:rPr>
      </w:pPr>
      <w:r>
        <w:rPr>
          <w:rFonts w:ascii="Times New Roman" w:hAnsi="Times New Roman" w:cs="Times New Roman"/>
        </w:rPr>
        <w:t xml:space="preserve">SRA is responsible for integrating and consolidate all project related complaints received into a single report from all channels and levels, for periodic submission to the World Bank, as set out in the ESCP.   MCS Focal Point will prepare periodic reports about the GRM and provide it to SRA.  </w:t>
      </w:r>
    </w:p>
    <w:p w14:paraId="7AC28EB3">
      <w:pPr>
        <w:spacing w:line="276" w:lineRule="auto"/>
        <w:jc w:val="both"/>
        <w:rPr>
          <w:rFonts w:ascii="Times New Roman" w:hAnsi="Times New Roman" w:cs="Times New Roman"/>
        </w:rPr>
      </w:pPr>
    </w:p>
    <w:p w14:paraId="14E96124">
      <w:pPr>
        <w:spacing w:line="276" w:lineRule="auto"/>
        <w:jc w:val="both"/>
        <w:rPr>
          <w:rFonts w:ascii="Times New Roman" w:hAnsi="Times New Roman" w:cs="Times New Roman"/>
        </w:rPr>
      </w:pPr>
      <w:r>
        <w:rPr>
          <w:rFonts w:ascii="Times New Roman" w:hAnsi="Times New Roman" w:cs="Times New Roman"/>
        </w:rPr>
        <w:t xml:space="preserve">Respective agencies will also publish reports for all stakeholders.  The reports will contain the following information:   </w:t>
      </w:r>
    </w:p>
    <w:p w14:paraId="58405C25">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Status of establishment of the GRM (procedures, staffing, awareness building, etc.)</w:t>
      </w:r>
    </w:p>
    <w:p w14:paraId="381BEEE1">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 xml:space="preserve">Quantitative data on the number of complaints received, the number that were relevant, and the number resolved; </w:t>
      </w:r>
    </w:p>
    <w:p w14:paraId="22A7F5BF">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Qualitative data on the type of complaints and answers provided, issues that are unresolved;</w:t>
      </w:r>
    </w:p>
    <w:p w14:paraId="208B6938">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Time taken to resolve complaints;</w:t>
      </w:r>
    </w:p>
    <w:p w14:paraId="1F50521A">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 xml:space="preserve">Any issues faced with the procedures/staffing or use; </w:t>
      </w:r>
    </w:p>
    <w:p w14:paraId="676A713B">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 xml:space="preserve">Factors that may be affecting the use of the GRM/beneficiary feedback system; </w:t>
      </w:r>
    </w:p>
    <w:p w14:paraId="7986D0B4">
      <w:pPr>
        <w:numPr>
          <w:ilvl w:val="0"/>
          <w:numId w:val="9"/>
        </w:numPr>
        <w:pBdr>
          <w:top w:val="none" w:color="auto" w:sz="0" w:space="0"/>
          <w:left w:val="none" w:color="auto" w:sz="0" w:space="0"/>
          <w:bottom w:val="none" w:color="auto" w:sz="0" w:space="0"/>
          <w:right w:val="none" w:color="auto" w:sz="0" w:space="0"/>
          <w:between w:val="none" w:color="auto" w:sz="0" w:space="0"/>
        </w:pBdr>
        <w:spacing w:after="0" w:line="276" w:lineRule="auto"/>
        <w:jc w:val="both"/>
        <w:rPr>
          <w:rFonts w:ascii="Times New Roman" w:hAnsi="Times New Roman" w:cs="Times New Roman"/>
          <w:color w:val="000000"/>
        </w:rPr>
      </w:pPr>
      <w:r>
        <w:rPr>
          <w:rFonts w:ascii="Times New Roman" w:hAnsi="Times New Roman" w:cs="Times New Roman"/>
          <w:color w:val="000000"/>
        </w:rPr>
        <w:t>Any corrective measures suggested/adopted and satisfaction of the complainants.</w:t>
      </w:r>
    </w:p>
    <w:p w14:paraId="4401754A">
      <w:pPr>
        <w:spacing w:line="276" w:lineRule="auto"/>
        <w:jc w:val="both"/>
        <w:rPr>
          <w:rFonts w:ascii="Times New Roman" w:hAnsi="Times New Roman" w:cs="Times New Roman"/>
        </w:rPr>
      </w:pPr>
    </w:p>
    <w:p w14:paraId="06FD60F1">
      <w:pPr>
        <w:spacing w:line="276" w:lineRule="auto"/>
        <w:jc w:val="both"/>
        <w:rPr>
          <w:rFonts w:ascii="Times New Roman" w:hAnsi="Times New Roman" w:cs="Times New Roman"/>
        </w:rPr>
      </w:pPr>
      <w:r>
        <w:rPr>
          <w:rFonts w:ascii="Times New Roman" w:hAnsi="Times New Roman" w:cs="Times New Roman"/>
        </w:rPr>
        <w:t>GRM at the Project level will be maintained during the entire period of Project implementation. The GRM will ensure that all stakeholders can effectively be engaged in the Project design, implementation, provide project staff with practical suggestions/feedback on Project activities allowing them to be more accountable, transparent, and responsive.</w:t>
      </w:r>
    </w:p>
    <w:p w14:paraId="417CB4D9">
      <w:pPr>
        <w:spacing w:line="276" w:lineRule="auto"/>
        <w:jc w:val="both"/>
        <w:rPr>
          <w:rFonts w:ascii="Times New Roman" w:hAnsi="Times New Roman" w:cs="Times New Roman"/>
        </w:rPr>
      </w:pPr>
    </w:p>
    <w:p w14:paraId="6832C49E">
      <w:pPr>
        <w:rPr>
          <w:rFonts w:ascii="Times New Roman" w:hAnsi="Times New Roman" w:cs="Times New Roman"/>
        </w:rPr>
      </w:pPr>
      <w:r>
        <w:rPr>
          <w:rFonts w:ascii="Times New Roman" w:hAnsi="Times New Roman" w:cs="Times New Roman"/>
        </w:rPr>
        <w:t>SRA/MCS Focal Points will prepare periodic reports to analyze trends, identify systemic issues, and suggest improvements to the grievance handling process.</w:t>
      </w:r>
    </w:p>
    <w:p w14:paraId="7EADCECA"/>
    <w:p w14:paraId="78C73C34"/>
    <w:p w14:paraId="52CE3964">
      <w:pPr>
        <w:autoSpaceDE w:val="0"/>
        <w:autoSpaceDN w:val="0"/>
        <w:adjustRightInd w:val="0"/>
        <w:spacing w:after="0" w:line="276" w:lineRule="auto"/>
        <w:jc w:val="both"/>
        <w:rPr>
          <w:rFonts w:ascii="Times New Roman" w:hAnsi="Times New Roman" w:cs="Times New Roman"/>
          <w:b/>
          <w:bCs/>
          <w:color w:val="000000"/>
          <w:lang w:val="en-GB"/>
        </w:rPr>
      </w:pPr>
    </w:p>
    <w:p w14:paraId="60304B16">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 xml:space="preserve">The </w:t>
      </w:r>
      <w:r>
        <w:rPr>
          <w:rFonts w:ascii="Times New Roman" w:hAnsi="Times New Roman" w:cs="Times New Roman"/>
          <w:b/>
          <w:bCs/>
          <w:color w:val="000000"/>
          <w:lang w:val="en-GB"/>
        </w:rPr>
        <w:t>Giurgiulești Platform Expansion Project</w:t>
      </w:r>
      <w:r>
        <w:rPr>
          <w:rFonts w:ascii="Times New Roman" w:hAnsi="Times New Roman" w:cs="Times New Roman"/>
          <w:color w:val="000000"/>
          <w:lang w:val="en-GB"/>
        </w:rPr>
        <w:t xml:space="preserve"> is a crucial infrastructure improvement initiative aimed at enhancing Moldova’s trade capacity. The project aligns with environmental, social, and regulatory standards, ensuring sustainable development while mitigating potential risks. The implementation of comprehensive mitigation and monitoring strategies will contribute to a safer and more efficient customs process while protecting the environment and local communities.</w:t>
      </w:r>
    </w:p>
    <w:p w14:paraId="37BD7012">
      <w:pPr>
        <w:autoSpaceDE w:val="0"/>
        <w:autoSpaceDN w:val="0"/>
        <w:adjustRightInd w:val="0"/>
        <w:spacing w:after="0" w:line="276" w:lineRule="auto"/>
        <w:jc w:val="both"/>
        <w:rPr>
          <w:rFonts w:ascii="Times New Roman" w:hAnsi="Times New Roman" w:cs="Times New Roman"/>
          <w:color w:val="000000"/>
        </w:rPr>
      </w:pPr>
      <w:bookmarkStart w:id="15" w:name="_Hlk197897511"/>
    </w:p>
    <w:p w14:paraId="4750AB5A">
      <w:pPr>
        <w:autoSpaceDE w:val="0"/>
        <w:autoSpaceDN w:val="0"/>
        <w:adjustRightInd w:val="0"/>
        <w:spacing w:after="0" w:line="276" w:lineRule="auto"/>
        <w:jc w:val="both"/>
        <w:rPr>
          <w:rFonts w:ascii="Times New Roman" w:hAnsi="Times New Roman" w:cs="Times New Roman"/>
          <w:color w:val="000000"/>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1E4F5" w:themeFill="accent1" w:themeFillTint="33"/>
        <w:tblLayout w:type="autofit"/>
        <w:tblCellMar>
          <w:top w:w="0" w:type="dxa"/>
          <w:left w:w="108" w:type="dxa"/>
          <w:bottom w:w="0" w:type="dxa"/>
          <w:right w:w="108" w:type="dxa"/>
        </w:tblCellMar>
      </w:tblPr>
      <w:tblGrid>
        <w:gridCol w:w="9350"/>
      </w:tblGrid>
      <w:tr w14:paraId="7C70C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C1E4F5" w:themeFill="accent1" w:themeFillTint="33"/>
          <w:tblCellMar>
            <w:top w:w="0" w:type="dxa"/>
            <w:left w:w="108" w:type="dxa"/>
            <w:bottom w:w="0" w:type="dxa"/>
            <w:right w:w="108" w:type="dxa"/>
          </w:tblCellMar>
        </w:tblPrEx>
        <w:tc>
          <w:tcPr>
            <w:tcW w:w="9350" w:type="dxa"/>
            <w:shd w:val="clear" w:color="auto" w:fill="C1E4F5" w:themeFill="accent1" w:themeFillTint="33"/>
          </w:tcPr>
          <w:p w14:paraId="7CCA6AD1">
            <w:pPr>
              <w:autoSpaceDE w:val="0"/>
              <w:autoSpaceDN w:val="0"/>
              <w:adjustRightInd w:val="0"/>
              <w:spacing w:after="160" w:line="360" w:lineRule="auto"/>
              <w:jc w:val="center"/>
              <w:rPr>
                <w:rFonts w:ascii="Times New Roman" w:hAnsi="Times New Roman" w:cs="Times New Roman"/>
                <w:color w:val="000000"/>
              </w:rPr>
            </w:pPr>
            <w:r>
              <w:rPr>
                <w:rFonts w:ascii="Times New Roman" w:hAnsi="Times New Roman" w:cs="Times New Roman"/>
                <w:b/>
                <w:bCs/>
                <w:color w:val="000000"/>
              </w:rPr>
              <w:t>Site Specific ESMP Checklist for Small Scale Works Activities</w:t>
            </w:r>
          </w:p>
        </w:tc>
      </w:tr>
    </w:tbl>
    <w:p w14:paraId="0E72D427">
      <w:pPr>
        <w:autoSpaceDE w:val="0"/>
        <w:autoSpaceDN w:val="0"/>
        <w:adjustRightInd w:val="0"/>
        <w:spacing w:after="0" w:line="276" w:lineRule="auto"/>
        <w:jc w:val="both"/>
        <w:rPr>
          <w:rFonts w:ascii="Times New Roman" w:hAnsi="Times New Roman" w:cs="Times New Roman"/>
          <w:color w:val="000000"/>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8"/>
        <w:gridCol w:w="2009"/>
        <w:gridCol w:w="2890"/>
        <w:gridCol w:w="1380"/>
        <w:gridCol w:w="1489"/>
      </w:tblGrid>
      <w:tr w14:paraId="3FACB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6641A239">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PART 1: INSTITUTIONAL AND ADMINISTRATIVE</w:t>
            </w:r>
          </w:p>
          <w:p w14:paraId="7EF95E89">
            <w:pPr>
              <w:autoSpaceDE w:val="0"/>
              <w:autoSpaceDN w:val="0"/>
              <w:adjustRightInd w:val="0"/>
              <w:spacing w:after="0" w:line="276" w:lineRule="auto"/>
              <w:jc w:val="both"/>
              <w:rPr>
                <w:rFonts w:ascii="Times New Roman" w:hAnsi="Times New Roman" w:cs="Times New Roman"/>
                <w:color w:val="000000"/>
              </w:rPr>
            </w:pPr>
          </w:p>
        </w:tc>
      </w:tr>
      <w:tr w14:paraId="46085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09AA42F">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Country/City/Region</w:t>
            </w:r>
          </w:p>
        </w:tc>
        <w:tc>
          <w:tcPr>
            <w:tcW w:w="6283" w:type="dxa"/>
            <w:gridSpan w:val="4"/>
          </w:tcPr>
          <w:p w14:paraId="27997ACA">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Republic of Moldova / Cahul district / Giurgiulesti village</w:t>
            </w:r>
          </w:p>
        </w:tc>
      </w:tr>
      <w:tr w14:paraId="5C3B3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490F95DE">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Project title</w:t>
            </w:r>
          </w:p>
        </w:tc>
        <w:tc>
          <w:tcPr>
            <w:tcW w:w="6283" w:type="dxa"/>
            <w:gridSpan w:val="4"/>
          </w:tcPr>
          <w:p w14:paraId="75F53D3D">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b/>
              </w:rPr>
              <w:t>Moldova Rural Connectivity Project</w:t>
            </w:r>
          </w:p>
        </w:tc>
      </w:tr>
      <w:tr w14:paraId="395F3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645464C">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Scope of project and activity</w:t>
            </w:r>
          </w:p>
        </w:tc>
        <w:tc>
          <w:tcPr>
            <w:tcW w:w="6283" w:type="dxa"/>
            <w:gridSpan w:val="4"/>
          </w:tcPr>
          <w:p w14:paraId="4643E9E7">
            <w:pPr>
              <w:spacing w:after="0" w:line="276" w:lineRule="auto"/>
              <w:rPr>
                <w:rFonts w:ascii="Times New Roman" w:hAnsi="Times New Roman" w:cs="Times New Roman"/>
                <w:bCs/>
                <w:iCs/>
              </w:rPr>
            </w:pPr>
            <w:r>
              <w:rPr>
                <w:rFonts w:ascii="Times New Roman" w:hAnsi="Times New Roman" w:cs="Times New Roman"/>
                <w:bCs/>
                <w:iCs/>
              </w:rPr>
              <w:t xml:space="preserve">Component B: Facilitating trade and expanding Solidarity Lanes (Border Crossing Points). Extension of Giurgiulesti Customs Clearance Area </w:t>
            </w:r>
          </w:p>
          <w:p w14:paraId="0AA6BAF6">
            <w:pPr>
              <w:autoSpaceDE w:val="0"/>
              <w:autoSpaceDN w:val="0"/>
              <w:adjustRightInd w:val="0"/>
              <w:spacing w:after="0" w:line="276" w:lineRule="auto"/>
              <w:jc w:val="both"/>
              <w:rPr>
                <w:rFonts w:ascii="Times New Roman" w:hAnsi="Times New Roman" w:cs="Times New Roman"/>
                <w:bCs/>
                <w:color w:val="000000"/>
              </w:rPr>
            </w:pPr>
          </w:p>
        </w:tc>
      </w:tr>
      <w:tr w14:paraId="5DED9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1401B089">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Institutional arrangements (Name and Contacts)</w:t>
            </w:r>
          </w:p>
        </w:tc>
        <w:tc>
          <w:tcPr>
            <w:tcW w:w="1714" w:type="dxa"/>
          </w:tcPr>
          <w:p w14:paraId="20C6B79A">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 xml:space="preserve">WB Project Coordinator </w:t>
            </w:r>
          </w:p>
          <w:p w14:paraId="6AE46E98">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 xml:space="preserve">Mesfin Wodajo Jijo, </w:t>
            </w:r>
            <w:r>
              <w:fldChar w:fldCharType="begin"/>
            </w:r>
            <w:r>
              <w:instrText xml:space="preserve"> HYPERLINK "mailto:mjijo@worldbank.org" </w:instrText>
            </w:r>
            <w:r>
              <w:fldChar w:fldCharType="separate"/>
            </w:r>
            <w:r>
              <w:rPr>
                <w:rStyle w:val="21"/>
                <w:rFonts w:ascii="Times New Roman" w:hAnsi="Times New Roman" w:cs="Times New Roman"/>
              </w:rPr>
              <w:t>mjijo@worldbank.org</w:t>
            </w:r>
            <w:r>
              <w:rPr>
                <w:rStyle w:val="21"/>
                <w:rFonts w:ascii="Times New Roman" w:hAnsi="Times New Roman" w:cs="Times New Roman"/>
              </w:rPr>
              <w:fldChar w:fldCharType="end"/>
            </w:r>
            <w:r>
              <w:rPr>
                <w:rFonts w:ascii="Times New Roman" w:hAnsi="Times New Roman" w:cs="Times New Roman"/>
                <w:color w:val="000000"/>
              </w:rPr>
              <w:t xml:space="preserve"> / </w:t>
            </w:r>
          </w:p>
          <w:p w14:paraId="1FDE46D2">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Elena Lungu, elungu@worldbank.org</w:t>
            </w:r>
          </w:p>
        </w:tc>
        <w:tc>
          <w:tcPr>
            <w:tcW w:w="1996" w:type="dxa"/>
          </w:tcPr>
          <w:p w14:paraId="3AFE74DD">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 xml:space="preserve">Project Management </w:t>
            </w:r>
          </w:p>
          <w:p w14:paraId="1E3A9524">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Corneliu Croitoru,</w:t>
            </w:r>
          </w:p>
          <w:p w14:paraId="2D4FB1F8">
            <w:pPr>
              <w:autoSpaceDE w:val="0"/>
              <w:autoSpaceDN w:val="0"/>
              <w:adjustRightInd w:val="0"/>
              <w:spacing w:after="160" w:line="276" w:lineRule="auto"/>
              <w:jc w:val="both"/>
              <w:rPr>
                <w:rFonts w:ascii="Times New Roman" w:hAnsi="Times New Roman" w:cs="Times New Roman"/>
                <w:color w:val="000000"/>
              </w:rPr>
            </w:pPr>
            <w:r>
              <w:fldChar w:fldCharType="begin"/>
            </w:r>
            <w:r>
              <w:instrText xml:space="preserve"> HYPERLINK "mailto:corneliu.croitoru@customs.gov.md" </w:instrText>
            </w:r>
            <w:r>
              <w:fldChar w:fldCharType="separate"/>
            </w:r>
            <w:r>
              <w:rPr>
                <w:rStyle w:val="21"/>
                <w:rFonts w:ascii="Times New Roman" w:hAnsi="Times New Roman" w:cs="Times New Roman"/>
              </w:rPr>
              <w:t>corneliu.croitoru@customs.gov.md</w:t>
            </w:r>
            <w:r>
              <w:rPr>
                <w:rStyle w:val="21"/>
                <w:rFonts w:ascii="Times New Roman" w:hAnsi="Times New Roman" w:cs="Times New Roman"/>
              </w:rPr>
              <w:fldChar w:fldCharType="end"/>
            </w:r>
            <w:r>
              <w:rPr>
                <w:rFonts w:ascii="Times New Roman" w:hAnsi="Times New Roman" w:cs="Times New Roman"/>
                <w:color w:val="000000"/>
              </w:rPr>
              <w:t xml:space="preserve"> </w:t>
            </w:r>
          </w:p>
        </w:tc>
        <w:tc>
          <w:tcPr>
            <w:tcW w:w="2573" w:type="dxa"/>
            <w:gridSpan w:val="2"/>
          </w:tcPr>
          <w:p w14:paraId="54F33BDA">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 xml:space="preserve">Local Counterpart and/or Recipient </w:t>
            </w:r>
          </w:p>
          <w:p w14:paraId="0F647C6E">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 xml:space="preserve">Tatiana Trofimov, </w:t>
            </w:r>
            <w:r>
              <w:fldChar w:fldCharType="begin"/>
            </w:r>
            <w:r>
              <w:instrText xml:space="preserve"> HYPERLINK "mailto:tatiana.trofimov@customs.gov.md" </w:instrText>
            </w:r>
            <w:r>
              <w:fldChar w:fldCharType="separate"/>
            </w:r>
            <w:r>
              <w:rPr>
                <w:rStyle w:val="21"/>
                <w:rFonts w:ascii="Times New Roman" w:hAnsi="Times New Roman" w:cs="Times New Roman"/>
              </w:rPr>
              <w:t>tatiana.trofimov@customs.gov.md</w:t>
            </w:r>
            <w:r>
              <w:rPr>
                <w:rStyle w:val="21"/>
                <w:rFonts w:ascii="Times New Roman" w:hAnsi="Times New Roman" w:cs="Times New Roman"/>
              </w:rPr>
              <w:fldChar w:fldCharType="end"/>
            </w:r>
            <w:r>
              <w:rPr>
                <w:rFonts w:ascii="Times New Roman" w:hAnsi="Times New Roman" w:cs="Times New Roman"/>
                <w:color w:val="000000"/>
              </w:rPr>
              <w:t xml:space="preserve"> </w:t>
            </w:r>
          </w:p>
          <w:p w14:paraId="656B3C1A">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Veaceslav Vladicescu, v.vladicescu@gmail.com</w:t>
            </w:r>
          </w:p>
        </w:tc>
      </w:tr>
      <w:tr w14:paraId="7A10D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7EB18DEB">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Implementation arrangements (Name and Contacts)</w:t>
            </w:r>
          </w:p>
        </w:tc>
        <w:tc>
          <w:tcPr>
            <w:tcW w:w="1714" w:type="dxa"/>
          </w:tcPr>
          <w:p w14:paraId="7C9E6FE5">
            <w:pPr>
              <w:autoSpaceDE w:val="0"/>
              <w:autoSpaceDN w:val="0"/>
              <w:adjustRightInd w:val="0"/>
              <w:spacing w:after="0" w:line="276" w:lineRule="auto"/>
              <w:jc w:val="both"/>
              <w:rPr>
                <w:rFonts w:hint="default" w:ascii="Times New Roman" w:hAnsi="Times New Roman" w:cs="Times New Roman"/>
                <w:color w:val="000000"/>
                <w:lang w:val="ro-RO"/>
              </w:rPr>
            </w:pPr>
            <w:r>
              <w:rPr>
                <w:rFonts w:ascii="Times New Roman" w:hAnsi="Times New Roman" w:cs="Times New Roman"/>
                <w:color w:val="000000"/>
              </w:rPr>
              <w:t>Supervision</w:t>
            </w:r>
            <w:r>
              <w:rPr>
                <w:rFonts w:hint="default" w:ascii="Times New Roman" w:hAnsi="Times New Roman" w:cs="Times New Roman"/>
                <w:color w:val="000000"/>
                <w:lang w:val="ro-RO"/>
              </w:rPr>
              <w:t>: ________________(</w:t>
            </w:r>
            <w:r>
              <w:rPr>
                <w:rFonts w:hint="default" w:ascii="Times New Roman" w:hAnsi="Times New Roman" w:cs="Times New Roman"/>
                <w:i/>
                <w:iCs/>
                <w:color w:val="000000"/>
                <w:sz w:val="20"/>
                <w:szCs w:val="20"/>
                <w:lang w:val="ro-RO"/>
              </w:rPr>
              <w:t>to be completed by Contractor</w:t>
            </w:r>
            <w:r>
              <w:rPr>
                <w:rFonts w:hint="default" w:ascii="Times New Roman" w:hAnsi="Times New Roman" w:cs="Times New Roman"/>
                <w:color w:val="000000"/>
                <w:lang w:val="ro-RO"/>
              </w:rPr>
              <w:t>)</w:t>
            </w:r>
          </w:p>
        </w:tc>
        <w:tc>
          <w:tcPr>
            <w:tcW w:w="1996" w:type="dxa"/>
          </w:tcPr>
          <w:p w14:paraId="024301B0">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Local Counterpart Supervision (if any)</w:t>
            </w:r>
          </w:p>
          <w:p w14:paraId="183A1263">
            <w:pPr>
              <w:autoSpaceDE w:val="0"/>
              <w:autoSpaceDN w:val="0"/>
              <w:adjustRightInd w:val="0"/>
              <w:spacing w:after="0" w:line="276" w:lineRule="auto"/>
              <w:jc w:val="both"/>
              <w:rPr>
                <w:rFonts w:hint="default" w:ascii="Times New Roman" w:hAnsi="Times New Roman" w:cs="Times New Roman"/>
                <w:i/>
                <w:iCs/>
                <w:color w:val="000000"/>
                <w:sz w:val="20"/>
                <w:szCs w:val="20"/>
                <w:lang w:val="ro-RO"/>
              </w:rPr>
            </w:pPr>
            <w:r>
              <w:rPr>
                <w:rFonts w:hint="default" w:ascii="Times New Roman" w:hAnsi="Times New Roman" w:cs="Times New Roman"/>
                <w:color w:val="000000"/>
                <w:lang w:val="ro-RO"/>
              </w:rPr>
              <w:t>__</w:t>
            </w:r>
            <w:r>
              <w:rPr>
                <w:rFonts w:hint="default" w:ascii="Times New Roman" w:hAnsi="Times New Roman" w:cs="Times New Roman"/>
                <w:i/>
                <w:iCs/>
                <w:color w:val="000000"/>
                <w:sz w:val="20"/>
                <w:szCs w:val="20"/>
                <w:lang w:val="ro-RO"/>
              </w:rPr>
              <w:t xml:space="preserve">_____________ </w:t>
            </w:r>
          </w:p>
          <w:p w14:paraId="3E56AD04">
            <w:pPr>
              <w:autoSpaceDE w:val="0"/>
              <w:autoSpaceDN w:val="0"/>
              <w:adjustRightInd w:val="0"/>
              <w:spacing w:after="0" w:line="276" w:lineRule="auto"/>
              <w:jc w:val="both"/>
              <w:rPr>
                <w:rFonts w:hint="default" w:ascii="Times New Roman" w:hAnsi="Times New Roman" w:cs="Times New Roman"/>
                <w:i/>
                <w:iCs/>
                <w:color w:val="000000"/>
                <w:sz w:val="20"/>
                <w:szCs w:val="20"/>
                <w:lang w:val="ro-RO"/>
              </w:rPr>
            </w:pPr>
            <w:r>
              <w:rPr>
                <w:rFonts w:hint="default" w:ascii="Times New Roman" w:hAnsi="Times New Roman" w:cs="Times New Roman"/>
                <w:i/>
                <w:iCs/>
                <w:color w:val="000000"/>
                <w:sz w:val="20"/>
                <w:szCs w:val="20"/>
                <w:lang w:val="ro-RO"/>
              </w:rPr>
              <w:t>(to be completed by Contractor)</w:t>
            </w:r>
          </w:p>
          <w:p w14:paraId="6537AA63">
            <w:pPr>
              <w:autoSpaceDE w:val="0"/>
              <w:autoSpaceDN w:val="0"/>
              <w:adjustRightInd w:val="0"/>
              <w:spacing w:after="160" w:line="276" w:lineRule="auto"/>
              <w:jc w:val="both"/>
              <w:rPr>
                <w:rFonts w:ascii="Times New Roman" w:hAnsi="Times New Roman" w:cs="Times New Roman"/>
                <w:color w:val="000000"/>
              </w:rPr>
            </w:pPr>
          </w:p>
        </w:tc>
        <w:tc>
          <w:tcPr>
            <w:tcW w:w="1347" w:type="dxa"/>
          </w:tcPr>
          <w:p w14:paraId="12D8503B">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Local Inspectorate Supervision (if any)</w:t>
            </w:r>
            <w:bookmarkStart w:id="19" w:name="_GoBack"/>
            <w:bookmarkEnd w:id="19"/>
          </w:p>
          <w:p w14:paraId="23907E18">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w:t>
            </w:r>
          </w:p>
        </w:tc>
        <w:tc>
          <w:tcPr>
            <w:tcW w:w="1226" w:type="dxa"/>
          </w:tcPr>
          <w:p w14:paraId="4445AC40">
            <w:pPr>
              <w:autoSpaceDE w:val="0"/>
              <w:autoSpaceDN w:val="0"/>
              <w:adjustRightInd w:val="0"/>
              <w:spacing w:after="160" w:line="276" w:lineRule="auto"/>
              <w:jc w:val="both"/>
              <w:rPr>
                <w:rFonts w:hint="default" w:ascii="Times New Roman" w:hAnsi="Times New Roman" w:cs="Times New Roman"/>
                <w:color w:val="000000"/>
                <w:lang w:val="ro-RO"/>
              </w:rPr>
            </w:pPr>
            <w:r>
              <w:rPr>
                <w:rFonts w:ascii="Times New Roman" w:hAnsi="Times New Roman" w:cs="Times New Roman"/>
                <w:color w:val="000000"/>
              </w:rPr>
              <w:t>Contactor</w:t>
            </w:r>
            <w:r>
              <w:rPr>
                <w:rFonts w:hint="default" w:ascii="Times New Roman" w:hAnsi="Times New Roman" w:cs="Times New Roman"/>
                <w:color w:val="000000"/>
                <w:lang w:val="ro-RO"/>
              </w:rPr>
              <w:t>:</w:t>
            </w:r>
          </w:p>
          <w:p w14:paraId="1939D4AF">
            <w:pPr>
              <w:autoSpaceDE w:val="0"/>
              <w:autoSpaceDN w:val="0"/>
              <w:adjustRightInd w:val="0"/>
              <w:spacing w:after="0" w:line="276" w:lineRule="auto"/>
              <w:jc w:val="both"/>
              <w:rPr>
                <w:rFonts w:hint="default" w:ascii="Times New Roman" w:hAnsi="Times New Roman" w:cs="Times New Roman"/>
                <w:i/>
                <w:iCs/>
                <w:color w:val="000000"/>
                <w:sz w:val="20"/>
                <w:szCs w:val="20"/>
                <w:lang w:val="ro-RO"/>
              </w:rPr>
            </w:pPr>
            <w:r>
              <w:rPr>
                <w:rFonts w:hint="default" w:ascii="Times New Roman" w:hAnsi="Times New Roman" w:cs="Times New Roman"/>
                <w:color w:val="000000"/>
                <w:lang w:val="ro-RO"/>
              </w:rPr>
              <w:t>_</w:t>
            </w:r>
            <w:r>
              <w:rPr>
                <w:rFonts w:hint="default" w:ascii="Times New Roman" w:hAnsi="Times New Roman" w:cs="Times New Roman"/>
                <w:i/>
                <w:iCs/>
                <w:color w:val="000000"/>
                <w:sz w:val="20"/>
                <w:szCs w:val="20"/>
                <w:lang w:val="ro-RO"/>
              </w:rPr>
              <w:t>___________</w:t>
            </w:r>
          </w:p>
          <w:p w14:paraId="02D25C54">
            <w:pPr>
              <w:autoSpaceDE w:val="0"/>
              <w:autoSpaceDN w:val="0"/>
              <w:adjustRightInd w:val="0"/>
              <w:spacing w:after="0" w:line="276" w:lineRule="auto"/>
              <w:jc w:val="both"/>
              <w:rPr>
                <w:rFonts w:hint="default" w:ascii="Times New Roman" w:hAnsi="Times New Roman" w:cs="Times New Roman"/>
                <w:i/>
                <w:iCs/>
                <w:color w:val="000000"/>
                <w:sz w:val="20"/>
                <w:szCs w:val="20"/>
                <w:lang w:val="ro-RO"/>
              </w:rPr>
            </w:pPr>
          </w:p>
          <w:p w14:paraId="6B7D8BE2">
            <w:pPr>
              <w:autoSpaceDE w:val="0"/>
              <w:autoSpaceDN w:val="0"/>
              <w:adjustRightInd w:val="0"/>
              <w:spacing w:after="0" w:line="276" w:lineRule="auto"/>
              <w:jc w:val="both"/>
              <w:rPr>
                <w:rFonts w:hint="default" w:ascii="Times New Roman" w:hAnsi="Times New Roman" w:cs="Times New Roman"/>
                <w:i/>
                <w:iCs/>
                <w:color w:val="000000"/>
                <w:sz w:val="20"/>
                <w:szCs w:val="20"/>
                <w:lang w:val="ro-RO"/>
              </w:rPr>
            </w:pPr>
            <w:r>
              <w:rPr>
                <w:rFonts w:hint="default" w:ascii="Times New Roman" w:hAnsi="Times New Roman" w:cs="Times New Roman"/>
                <w:i/>
                <w:iCs/>
                <w:color w:val="000000"/>
                <w:sz w:val="20"/>
                <w:szCs w:val="20"/>
                <w:lang w:val="ro-RO"/>
              </w:rPr>
              <w:t>(t</w:t>
            </w:r>
            <w:r>
              <w:rPr>
                <w:rFonts w:hint="default" w:ascii="Times New Roman" w:hAnsi="Times New Roman" w:cs="Times New Roman"/>
                <w:color w:val="000000"/>
                <w:sz w:val="20"/>
                <w:szCs w:val="20"/>
                <w:lang w:val="ro-RO"/>
              </w:rPr>
              <w:t>o</w:t>
            </w:r>
            <w:r>
              <w:rPr>
                <w:rFonts w:hint="default" w:ascii="Times New Roman" w:hAnsi="Times New Roman" w:cs="Times New Roman"/>
                <w:i/>
                <w:iCs/>
                <w:color w:val="000000"/>
                <w:sz w:val="20"/>
                <w:szCs w:val="20"/>
                <w:lang w:val="ro-RO"/>
              </w:rPr>
              <w:t xml:space="preserve"> be completed by Contractor)</w:t>
            </w:r>
          </w:p>
          <w:p w14:paraId="3AF94100">
            <w:pPr>
              <w:autoSpaceDE w:val="0"/>
              <w:autoSpaceDN w:val="0"/>
              <w:adjustRightInd w:val="0"/>
              <w:spacing w:after="160" w:line="276" w:lineRule="auto"/>
              <w:jc w:val="both"/>
              <w:rPr>
                <w:rFonts w:ascii="Times New Roman" w:hAnsi="Times New Roman" w:cs="Times New Roman"/>
                <w:color w:val="000000"/>
              </w:rPr>
            </w:pPr>
          </w:p>
        </w:tc>
      </w:tr>
      <w:tr w14:paraId="5578B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7295C5F3">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SITE DESCRIPTION</w:t>
            </w:r>
          </w:p>
          <w:p w14:paraId="76D7F256">
            <w:pPr>
              <w:autoSpaceDE w:val="0"/>
              <w:autoSpaceDN w:val="0"/>
              <w:adjustRightInd w:val="0"/>
              <w:spacing w:after="0" w:line="276" w:lineRule="auto"/>
              <w:jc w:val="both"/>
              <w:rPr>
                <w:rFonts w:ascii="Times New Roman" w:hAnsi="Times New Roman" w:cs="Times New Roman"/>
                <w:color w:val="000000"/>
              </w:rPr>
            </w:pPr>
          </w:p>
        </w:tc>
      </w:tr>
      <w:tr w14:paraId="0AA33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144C38BC">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Name of site</w:t>
            </w:r>
          </w:p>
        </w:tc>
        <w:tc>
          <w:tcPr>
            <w:tcW w:w="6283" w:type="dxa"/>
            <w:gridSpan w:val="4"/>
          </w:tcPr>
          <w:p w14:paraId="4B294E07">
            <w:pPr>
              <w:suppressAutoHyphens/>
              <w:spacing w:after="60" w:line="240" w:lineRule="auto"/>
            </w:pPr>
            <w:r>
              <w:rPr>
                <w:i/>
                <w:color w:val="000000" w:themeColor="text1"/>
                <w14:textFill>
                  <w14:solidFill>
                    <w14:schemeClr w14:val="tx1"/>
                  </w14:solidFill>
                </w14:textFill>
              </w:rPr>
              <w:t>Works for the extension/upgrade of existing parking facility in Giurgiulesti-(MD)</w:t>
            </w:r>
          </w:p>
        </w:tc>
      </w:tr>
      <w:tr w14:paraId="2EC55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31C95EDD">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Description of site location</w:t>
            </w:r>
          </w:p>
        </w:tc>
        <w:tc>
          <w:tcPr>
            <w:tcW w:w="6283" w:type="dxa"/>
            <w:gridSpan w:val="4"/>
          </w:tcPr>
          <w:p w14:paraId="15490EB1">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The Giurgiulești Customs Service control platform is located approximately 3 kilometers from the Moldova-Romania and Moldova-Ukraine border crossings, on the Cahul–Giurgiulești route. The site lies outside the built-up area of Giurgiulești village in Cahul district, and spans a government-owned plot of approximately 1.27 hectares. The area is surrounded by agricultural land and pasture, with the Prut River located 470 meters away. A hill and a forest parcel nearby provide natural buffers. The closest residential structures in Giurgiulești village are about 780 meters away, ensuring minimal direct disturbance. Originally intended for 60 trucks, the platform currently accommodates about 30 vehicles and is partially paved. Planned upgrades include full concreting of the platform, installation of modern sanitary facilities, truck scale, artesian well, drainage, lighting, and electronic queuing systems, aimed at easing congestion and improving conditions for drivers and local residents.</w:t>
            </w:r>
          </w:p>
        </w:tc>
      </w:tr>
      <w:tr w14:paraId="6AB77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4B19E85">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Who owns the land?</w:t>
            </w:r>
          </w:p>
        </w:tc>
        <w:tc>
          <w:tcPr>
            <w:tcW w:w="6283" w:type="dxa"/>
            <w:gridSpan w:val="4"/>
          </w:tcPr>
          <w:p w14:paraId="0D1B4875">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State, GoM</w:t>
            </w:r>
          </w:p>
        </w:tc>
      </w:tr>
      <w:tr w14:paraId="729E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1BA281E8">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Geographic description</w:t>
            </w:r>
          </w:p>
        </w:tc>
        <w:tc>
          <w:tcPr>
            <w:tcW w:w="6283" w:type="dxa"/>
            <w:gridSpan w:val="4"/>
          </w:tcPr>
          <w:p w14:paraId="00CED307">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The Giurgiulești Customs Service control platform is geographically located in the southern part of the Republic of Moldova, within Cahul District, approximately 3 kilometers northeast of the Giurgiulești border crossing points with Romania (Giurgiulești-Galați) and Ukraine (Giurgiulești-Reni). The site lies along the R34 national road, which connects the town of Cahul with the port and customs facilities in Giurgiulești.</w:t>
            </w:r>
          </w:p>
          <w:p w14:paraId="198274A9">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The platform is situated outside the built-up area of Giurgiulești village, on a slightly elevated plain bordered by agricultural lands and pasture. The Prut River, which forms the natural border with Romania, is located approximately 470 meters west of the site, with a hill and a forest parcel serving as natural topographic and visual barriers. The surrounding landscape is rural, with no sensitive natural protected areas in the immediate vicinity. The site sits within Moldova’s southernmost territory, near the country’s only direct access to the Danube River and seaports via the Giurgiulești International Free Port.</w:t>
            </w:r>
          </w:p>
          <w:p w14:paraId="445E598D">
            <w:pPr>
              <w:autoSpaceDE w:val="0"/>
              <w:autoSpaceDN w:val="0"/>
              <w:adjustRightInd w:val="0"/>
              <w:spacing w:after="0" w:line="276" w:lineRule="auto"/>
              <w:jc w:val="both"/>
              <w:rPr>
                <w:rFonts w:ascii="Times New Roman" w:hAnsi="Times New Roman" w:cs="Times New Roman"/>
                <w:color w:val="000000"/>
              </w:rPr>
            </w:pPr>
          </w:p>
        </w:tc>
      </w:tr>
      <w:tr w14:paraId="25368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40D0CC32">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b/>
                <w:bCs/>
                <w:color w:val="000000"/>
              </w:rPr>
              <w:t>LEGISLATION</w:t>
            </w:r>
          </w:p>
        </w:tc>
      </w:tr>
      <w:tr w14:paraId="672D4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36EA4691">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Identify national legislation &amp; permits that apply to project activity</w:t>
            </w:r>
          </w:p>
        </w:tc>
        <w:tc>
          <w:tcPr>
            <w:tcW w:w="6283" w:type="dxa"/>
            <w:gridSpan w:val="4"/>
          </w:tcPr>
          <w:p w14:paraId="23953C82">
            <w:pPr>
              <w:autoSpaceDE w:val="0"/>
              <w:autoSpaceDN w:val="0"/>
              <w:adjustRightInd w:val="0"/>
              <w:spacing w:after="0" w:line="276" w:lineRule="auto"/>
              <w:ind w:left="360"/>
              <w:jc w:val="both"/>
              <w:rPr>
                <w:rFonts w:ascii="Times New Roman" w:hAnsi="Times New Roman" w:cs="Times New Roman"/>
                <w:color w:val="000000"/>
                <w:lang w:val="en-GB"/>
              </w:rPr>
            </w:pPr>
            <w:r>
              <w:rPr>
                <w:rFonts w:ascii="Times New Roman" w:hAnsi="Times New Roman" w:cs="Times New Roman"/>
                <w:b/>
                <w:bCs/>
                <w:color w:val="000000"/>
                <w:lang w:val="en-GB"/>
              </w:rPr>
              <w:t>Law on Environmental Protection No. 1515-XII of 16.06.1993</w:t>
            </w:r>
            <w:r>
              <w:rPr>
                <w:rFonts w:ascii="Times New Roman" w:hAnsi="Times New Roman" w:cs="Times New Roman"/>
                <w:color w:val="000000"/>
                <w:lang w:val="en-GB"/>
              </w:rPr>
              <w:br w:type="textWrapping"/>
            </w:r>
            <w:r>
              <w:rPr>
                <w:rFonts w:ascii="Times New Roman" w:hAnsi="Times New Roman" w:cs="Times New Roman"/>
                <w:color w:val="000000"/>
                <w:lang w:val="en-GB"/>
              </w:rPr>
              <w:t>– Establishes the general legal framework for environmental protection in Moldova.</w:t>
            </w:r>
          </w:p>
          <w:p w14:paraId="2F3F0F16">
            <w:pPr>
              <w:autoSpaceDE w:val="0"/>
              <w:autoSpaceDN w:val="0"/>
              <w:adjustRightInd w:val="0"/>
              <w:spacing w:after="0" w:line="276" w:lineRule="auto"/>
              <w:ind w:left="360"/>
              <w:jc w:val="both"/>
              <w:rPr>
                <w:rFonts w:ascii="Times New Roman" w:hAnsi="Times New Roman" w:cs="Times New Roman"/>
                <w:color w:val="000000"/>
                <w:lang w:val="en-GB"/>
              </w:rPr>
            </w:pPr>
            <w:r>
              <w:rPr>
                <w:rFonts w:ascii="Times New Roman" w:hAnsi="Times New Roman" w:cs="Times New Roman"/>
                <w:b/>
                <w:bCs/>
                <w:color w:val="000000"/>
                <w:lang w:val="en-GB"/>
              </w:rPr>
              <w:t>Law on Environmental Impact Assessment No. 86 of 29.05.2014</w:t>
            </w:r>
            <w:r>
              <w:rPr>
                <w:rFonts w:ascii="Times New Roman" w:hAnsi="Times New Roman" w:cs="Times New Roman"/>
                <w:color w:val="000000"/>
                <w:lang w:val="en-GB"/>
              </w:rPr>
              <w:br w:type="textWrapping"/>
            </w:r>
            <w:r>
              <w:rPr>
                <w:rFonts w:ascii="Times New Roman" w:hAnsi="Times New Roman" w:cs="Times New Roman"/>
                <w:color w:val="000000"/>
                <w:lang w:val="en-GB"/>
              </w:rPr>
              <w:t>– Requires environmental impact assessment for public and private projects likely to have significant effects on the environment.</w:t>
            </w:r>
          </w:p>
          <w:p w14:paraId="287ACA77">
            <w:pPr>
              <w:autoSpaceDE w:val="0"/>
              <w:autoSpaceDN w:val="0"/>
              <w:adjustRightInd w:val="0"/>
              <w:spacing w:after="0" w:line="276" w:lineRule="auto"/>
              <w:ind w:left="360"/>
              <w:jc w:val="both"/>
              <w:rPr>
                <w:rFonts w:ascii="Times New Roman" w:hAnsi="Times New Roman" w:cs="Times New Roman"/>
                <w:color w:val="000000"/>
                <w:lang w:val="en-GB"/>
              </w:rPr>
            </w:pPr>
            <w:r>
              <w:rPr>
                <w:rFonts w:ascii="Times New Roman" w:hAnsi="Times New Roman" w:cs="Times New Roman"/>
                <w:b/>
                <w:bCs/>
                <w:color w:val="000000"/>
                <w:lang w:val="en-GB"/>
              </w:rPr>
              <w:t>Law on State Supervision of Public Health No. 10-XVI of 03.02.2009</w:t>
            </w:r>
            <w:r>
              <w:rPr>
                <w:rFonts w:ascii="Times New Roman" w:hAnsi="Times New Roman" w:cs="Times New Roman"/>
                <w:color w:val="000000"/>
                <w:lang w:val="en-GB"/>
              </w:rPr>
              <w:br w:type="textWrapping"/>
            </w:r>
            <w:r>
              <w:rPr>
                <w:rFonts w:ascii="Times New Roman" w:hAnsi="Times New Roman" w:cs="Times New Roman"/>
                <w:color w:val="000000"/>
                <w:lang w:val="en-GB"/>
              </w:rPr>
              <w:t>– Ensures protection of population health, relevant for evaluating sanitary conditions and proximity to residential areas.</w:t>
            </w:r>
          </w:p>
          <w:p w14:paraId="09B5F846">
            <w:pPr>
              <w:autoSpaceDE w:val="0"/>
              <w:autoSpaceDN w:val="0"/>
              <w:adjustRightInd w:val="0"/>
              <w:spacing w:after="0" w:line="276" w:lineRule="auto"/>
              <w:ind w:left="360"/>
              <w:jc w:val="both"/>
              <w:rPr>
                <w:rFonts w:ascii="Times New Roman" w:hAnsi="Times New Roman" w:cs="Times New Roman"/>
                <w:color w:val="000000"/>
                <w:lang w:val="en-GB"/>
              </w:rPr>
            </w:pPr>
            <w:r>
              <w:rPr>
                <w:rFonts w:ascii="Times New Roman" w:hAnsi="Times New Roman" w:cs="Times New Roman"/>
                <w:b/>
                <w:bCs/>
                <w:color w:val="000000"/>
                <w:lang w:val="en-GB"/>
              </w:rPr>
              <w:t>Law on Waste No. 209 of 29.07.2016</w:t>
            </w:r>
            <w:r>
              <w:rPr>
                <w:rFonts w:ascii="Times New Roman" w:hAnsi="Times New Roman" w:cs="Times New Roman"/>
                <w:color w:val="000000"/>
                <w:lang w:val="en-GB"/>
              </w:rPr>
              <w:br w:type="textWrapping"/>
            </w:r>
            <w:r>
              <w:rPr>
                <w:rFonts w:ascii="Times New Roman" w:hAnsi="Times New Roman" w:cs="Times New Roman"/>
                <w:color w:val="000000"/>
                <w:lang w:val="en-GB"/>
              </w:rPr>
              <w:t>– Regulates waste management, relevant to the handling of construction and operation waste.</w:t>
            </w:r>
          </w:p>
          <w:p w14:paraId="25023C05">
            <w:pPr>
              <w:autoSpaceDE w:val="0"/>
              <w:autoSpaceDN w:val="0"/>
              <w:adjustRightInd w:val="0"/>
              <w:spacing w:after="0" w:line="276" w:lineRule="auto"/>
              <w:ind w:left="360"/>
              <w:jc w:val="both"/>
              <w:rPr>
                <w:rFonts w:ascii="Times New Roman" w:hAnsi="Times New Roman" w:cs="Times New Roman"/>
                <w:color w:val="000000"/>
                <w:lang w:val="en-GB"/>
              </w:rPr>
            </w:pPr>
            <w:r>
              <w:rPr>
                <w:rFonts w:ascii="Times New Roman" w:hAnsi="Times New Roman" w:cs="Times New Roman"/>
                <w:b/>
                <w:bCs/>
                <w:color w:val="000000"/>
                <w:lang w:val="en-GB"/>
              </w:rPr>
              <w:t>Law on Access to Information of Public Interest No. 982-XIV of 11.05.2000</w:t>
            </w:r>
            <w:r>
              <w:rPr>
                <w:rFonts w:ascii="Times New Roman" w:hAnsi="Times New Roman" w:cs="Times New Roman"/>
                <w:color w:val="000000"/>
                <w:lang w:val="en-GB"/>
              </w:rPr>
              <w:br w:type="textWrapping"/>
            </w:r>
            <w:r>
              <w:rPr>
                <w:rFonts w:ascii="Times New Roman" w:hAnsi="Times New Roman" w:cs="Times New Roman"/>
                <w:color w:val="000000"/>
                <w:lang w:val="en-GB"/>
              </w:rPr>
              <w:t>– Ensures transparency and access to environmental information.</w:t>
            </w:r>
          </w:p>
          <w:p w14:paraId="067532E2">
            <w:pPr>
              <w:autoSpaceDE w:val="0"/>
              <w:autoSpaceDN w:val="0"/>
              <w:adjustRightInd w:val="0"/>
              <w:spacing w:after="0" w:line="276" w:lineRule="auto"/>
              <w:jc w:val="both"/>
              <w:rPr>
                <w:rFonts w:ascii="Times New Roman" w:hAnsi="Times New Roman" w:cs="Times New Roman"/>
                <w:color w:val="000000"/>
              </w:rPr>
            </w:pPr>
          </w:p>
          <w:p w14:paraId="41CC861B">
            <w:pPr>
              <w:autoSpaceDE w:val="0"/>
              <w:autoSpaceDN w:val="0"/>
              <w:adjustRightInd w:val="0"/>
              <w:spacing w:after="0" w:line="276" w:lineRule="auto"/>
              <w:jc w:val="both"/>
              <w:rPr>
                <w:rFonts w:ascii="Times New Roman" w:hAnsi="Times New Roman" w:cs="Times New Roman"/>
                <w:b/>
                <w:bCs/>
                <w:color w:val="000000"/>
                <w:lang w:val="en-GB"/>
              </w:rPr>
            </w:pPr>
            <w:r>
              <w:rPr>
                <w:rFonts w:ascii="Times New Roman" w:hAnsi="Times New Roman" w:cs="Times New Roman"/>
                <w:b/>
                <w:bCs/>
                <w:color w:val="000000"/>
                <w:lang w:val="en-GB"/>
              </w:rPr>
              <w:t>Permits Required for the Project</w:t>
            </w:r>
          </w:p>
          <w:p w14:paraId="5E418928">
            <w:pPr>
              <w:numPr>
                <w:ilvl w:val="0"/>
                <w:numId w:val="10"/>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b/>
                <w:bCs/>
                <w:color w:val="000000"/>
                <w:lang w:val="en-GB"/>
              </w:rPr>
              <w:t>Urban Planning Certificate for Design</w:t>
            </w:r>
            <w:r>
              <w:rPr>
                <w:rFonts w:ascii="Times New Roman" w:hAnsi="Times New Roman" w:cs="Times New Roman"/>
                <w:color w:val="000000"/>
                <w:lang w:val="en-GB"/>
              </w:rPr>
              <w:br w:type="textWrapping"/>
            </w:r>
            <w:r>
              <w:rPr>
                <w:rFonts w:ascii="Times New Roman" w:hAnsi="Times New Roman" w:cs="Times New Roman"/>
                <w:color w:val="000000"/>
                <w:lang w:val="en-GB"/>
              </w:rPr>
              <w:t>– Confirms site compliance with territorial and urban planning requirements.</w:t>
            </w:r>
          </w:p>
          <w:p w14:paraId="1337AB16">
            <w:pPr>
              <w:numPr>
                <w:ilvl w:val="0"/>
                <w:numId w:val="10"/>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b/>
                <w:bCs/>
                <w:color w:val="000000"/>
                <w:lang w:val="en-GB"/>
              </w:rPr>
              <w:t>Environmental Permit / Environmental Authorization</w:t>
            </w:r>
            <w:r>
              <w:rPr>
                <w:rFonts w:ascii="Times New Roman" w:hAnsi="Times New Roman" w:cs="Times New Roman"/>
                <w:color w:val="000000"/>
                <w:lang w:val="en-GB"/>
              </w:rPr>
              <w:br w:type="textWrapping"/>
            </w:r>
            <w:r>
              <w:rPr>
                <w:rFonts w:ascii="Times New Roman" w:hAnsi="Times New Roman" w:cs="Times New Roman"/>
                <w:color w:val="000000"/>
                <w:lang w:val="en-GB"/>
              </w:rPr>
              <w:t>– Required based on findings of the environmental impact assessment.</w:t>
            </w:r>
          </w:p>
          <w:p w14:paraId="59AB1F84">
            <w:pPr>
              <w:numPr>
                <w:ilvl w:val="0"/>
                <w:numId w:val="10"/>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b/>
                <w:bCs/>
                <w:color w:val="000000"/>
                <w:lang w:val="en-GB"/>
              </w:rPr>
              <w:t>Construction Permit</w:t>
            </w:r>
            <w:r>
              <w:rPr>
                <w:rFonts w:ascii="Times New Roman" w:hAnsi="Times New Roman" w:cs="Times New Roman"/>
                <w:color w:val="000000"/>
                <w:lang w:val="en-GB"/>
              </w:rPr>
              <w:br w:type="textWrapping"/>
            </w:r>
            <w:r>
              <w:rPr>
                <w:rFonts w:ascii="Times New Roman" w:hAnsi="Times New Roman" w:cs="Times New Roman"/>
                <w:color w:val="000000"/>
                <w:lang w:val="en-GB"/>
              </w:rPr>
              <w:t>– Issued by the local public authority following approval of the technical project.</w:t>
            </w:r>
          </w:p>
          <w:p w14:paraId="14E4F175">
            <w:pPr>
              <w:numPr>
                <w:ilvl w:val="0"/>
                <w:numId w:val="10"/>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b/>
                <w:bCs/>
                <w:color w:val="000000"/>
                <w:lang w:val="en-GB"/>
              </w:rPr>
              <w:t>Permit for Connection to Utilities</w:t>
            </w:r>
            <w:r>
              <w:rPr>
                <w:rFonts w:ascii="Times New Roman" w:hAnsi="Times New Roman" w:cs="Times New Roman"/>
                <w:color w:val="000000"/>
                <w:lang w:val="en-GB"/>
              </w:rPr>
              <w:t xml:space="preserve"> (water supply, sanitation, electricity)</w:t>
            </w:r>
            <w:r>
              <w:rPr>
                <w:rFonts w:ascii="Times New Roman" w:hAnsi="Times New Roman" w:cs="Times New Roman"/>
                <w:color w:val="000000"/>
                <w:lang w:val="en-GB"/>
              </w:rPr>
              <w:br w:type="textWrapping"/>
            </w:r>
            <w:r>
              <w:rPr>
                <w:rFonts w:ascii="Times New Roman" w:hAnsi="Times New Roman" w:cs="Times New Roman"/>
                <w:color w:val="000000"/>
                <w:lang w:val="en-GB"/>
              </w:rPr>
              <w:t>– Required for connecting the site to existing public infrastructure.</w:t>
            </w:r>
          </w:p>
          <w:p w14:paraId="54A20882">
            <w:pPr>
              <w:autoSpaceDE w:val="0"/>
              <w:autoSpaceDN w:val="0"/>
              <w:adjustRightInd w:val="0"/>
              <w:spacing w:after="0" w:line="276" w:lineRule="auto"/>
              <w:ind w:left="720"/>
              <w:jc w:val="both"/>
              <w:rPr>
                <w:rFonts w:ascii="Times New Roman" w:hAnsi="Times New Roman" w:cs="Times New Roman"/>
                <w:color w:val="000000"/>
              </w:rPr>
            </w:pPr>
          </w:p>
        </w:tc>
      </w:tr>
      <w:tr w14:paraId="59F37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0" w:type="dxa"/>
            <w:gridSpan w:val="5"/>
          </w:tcPr>
          <w:p w14:paraId="07F8E648">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PUBLIC CONSULTATIONS</w:t>
            </w:r>
          </w:p>
          <w:p w14:paraId="4F6111C4">
            <w:pPr>
              <w:autoSpaceDE w:val="0"/>
              <w:autoSpaceDN w:val="0"/>
              <w:adjustRightInd w:val="0"/>
              <w:spacing w:after="0" w:line="276" w:lineRule="auto"/>
              <w:jc w:val="both"/>
              <w:rPr>
                <w:rFonts w:ascii="Times New Roman" w:hAnsi="Times New Roman" w:cs="Times New Roman"/>
                <w:color w:val="000000"/>
              </w:rPr>
            </w:pPr>
          </w:p>
        </w:tc>
      </w:tr>
      <w:tr w14:paraId="06C09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67" w:type="dxa"/>
          </w:tcPr>
          <w:p w14:paraId="6C5EC5FB">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Identify when / where the public consultation process took place</w:t>
            </w:r>
          </w:p>
        </w:tc>
        <w:tc>
          <w:tcPr>
            <w:tcW w:w="6283" w:type="dxa"/>
            <w:gridSpan w:val="4"/>
          </w:tcPr>
          <w:p w14:paraId="22B6E528">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The </w:t>
            </w:r>
            <w:r>
              <w:rPr>
                <w:rFonts w:ascii="Times New Roman" w:hAnsi="Times New Roman" w:cs="Times New Roman"/>
                <w:b/>
                <w:bCs/>
                <w:color w:val="000000"/>
              </w:rPr>
              <w:t>initial public consultation</w:t>
            </w:r>
            <w:r>
              <w:rPr>
                <w:rFonts w:ascii="Times New Roman" w:hAnsi="Times New Roman" w:cs="Times New Roman"/>
                <w:color w:val="000000"/>
              </w:rPr>
              <w:t xml:space="preserve"> for the Giurgiulești parking platform project was conducted on </w:t>
            </w:r>
            <w:r>
              <w:rPr>
                <w:rFonts w:ascii="Times New Roman" w:hAnsi="Times New Roman" w:cs="Times New Roman"/>
                <w:b/>
                <w:bCs/>
                <w:color w:val="000000"/>
              </w:rPr>
              <w:t>April 18, 2024</w:t>
            </w:r>
            <w:r>
              <w:rPr>
                <w:rFonts w:ascii="Times New Roman" w:hAnsi="Times New Roman" w:cs="Times New Roman"/>
                <w:color w:val="000000"/>
              </w:rPr>
              <w:t xml:space="preserve">, as part of the ESIA process. </w:t>
            </w:r>
          </w:p>
          <w:p w14:paraId="3E88D08D">
            <w:pPr>
              <w:autoSpaceDE w:val="0"/>
              <w:autoSpaceDN w:val="0"/>
              <w:adjustRightInd w:val="0"/>
              <w:spacing w:after="0" w:line="276" w:lineRule="auto"/>
              <w:jc w:val="both"/>
              <w:rPr>
                <w:rFonts w:ascii="Times New Roman" w:hAnsi="Times New Roman" w:cs="Times New Roman"/>
                <w:color w:val="000000"/>
              </w:rPr>
            </w:pPr>
          </w:p>
          <w:p w14:paraId="5F84F4D3">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ESMP Checklist findings and SIMC established on </w:t>
            </w:r>
            <w:r>
              <w:rPr>
                <w:rFonts w:ascii="Times New Roman" w:hAnsi="Times New Roman" w:cs="Times New Roman"/>
                <w:b/>
                <w:bCs/>
                <w:color w:val="000000"/>
              </w:rPr>
              <w:t>April 2, 2025</w:t>
            </w:r>
            <w:r>
              <w:rPr>
                <w:rFonts w:ascii="Times New Roman" w:hAnsi="Times New Roman" w:cs="Times New Roman"/>
                <w:color w:val="000000"/>
              </w:rPr>
              <w:t xml:space="preserve">. </w:t>
            </w:r>
          </w:p>
          <w:p w14:paraId="0ADE21BA">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Both meetings took place in the premises of Giurgiulesti mayoralty. </w:t>
            </w:r>
          </w:p>
        </w:tc>
      </w:tr>
    </w:tbl>
    <w:p w14:paraId="24ECE7D3">
      <w:pPr>
        <w:autoSpaceDE w:val="0"/>
        <w:autoSpaceDN w:val="0"/>
        <w:adjustRightInd w:val="0"/>
        <w:spacing w:after="0" w:line="276" w:lineRule="auto"/>
        <w:jc w:val="both"/>
        <w:rPr>
          <w:rFonts w:ascii="Times New Roman" w:hAnsi="Times New Roman" w:cs="Times New Roman"/>
          <w:color w:val="000000"/>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0"/>
        <w:gridCol w:w="2340"/>
        <w:gridCol w:w="1732"/>
        <w:gridCol w:w="3158"/>
      </w:tblGrid>
      <w:tr w14:paraId="43B90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350" w:type="dxa"/>
            <w:gridSpan w:val="4"/>
            <w:shd w:val="clear" w:color="auto" w:fill="C1E4F5" w:themeFill="accent1" w:themeFillTint="33"/>
          </w:tcPr>
          <w:p w14:paraId="43CAE0D5">
            <w:pPr>
              <w:autoSpaceDE w:val="0"/>
              <w:autoSpaceDN w:val="0"/>
              <w:adjustRightInd w:val="0"/>
              <w:spacing w:after="160" w:line="276" w:lineRule="auto"/>
              <w:jc w:val="both"/>
              <w:rPr>
                <w:rFonts w:ascii="Times New Roman" w:hAnsi="Times New Roman" w:cs="Times New Roman"/>
                <w:b/>
                <w:bCs/>
                <w:color w:val="000000"/>
              </w:rPr>
            </w:pPr>
            <w:r>
              <w:rPr>
                <w:rFonts w:ascii="Times New Roman" w:hAnsi="Times New Roman" w:cs="Times New Roman"/>
                <w:b/>
                <w:bCs/>
                <w:color w:val="000000"/>
              </w:rPr>
              <w:t>PART 2: ENVIRONMENTAL AND SOCIAL SCREENING</w:t>
            </w:r>
          </w:p>
          <w:p w14:paraId="592035B3">
            <w:pPr>
              <w:autoSpaceDE w:val="0"/>
              <w:autoSpaceDN w:val="0"/>
              <w:adjustRightInd w:val="0"/>
              <w:spacing w:after="160" w:line="276" w:lineRule="auto"/>
              <w:jc w:val="both"/>
              <w:rPr>
                <w:rFonts w:ascii="Times New Roman" w:hAnsi="Times New Roman" w:cs="Times New Roman"/>
                <w:color w:val="000000"/>
              </w:rPr>
            </w:pPr>
          </w:p>
        </w:tc>
      </w:tr>
      <w:tr w14:paraId="2A881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2CD71DCA">
            <w:pPr>
              <w:autoSpaceDE w:val="0"/>
              <w:autoSpaceDN w:val="0"/>
              <w:adjustRightInd w:val="0"/>
              <w:spacing w:after="0" w:line="276" w:lineRule="auto"/>
              <w:jc w:val="center"/>
              <w:rPr>
                <w:rFonts w:ascii="Times New Roman" w:hAnsi="Times New Roman" w:cs="Times New Roman"/>
                <w:color w:val="000000"/>
              </w:rPr>
            </w:pPr>
            <w:r>
              <w:rPr>
                <w:rFonts w:ascii="Times New Roman" w:hAnsi="Times New Roman" w:cs="Times New Roman"/>
                <w:color w:val="000000"/>
              </w:rPr>
              <w:t>Will the site activity include/involve any of the following potential issues and/or impacts:</w:t>
            </w:r>
          </w:p>
        </w:tc>
        <w:tc>
          <w:tcPr>
            <w:tcW w:w="2340" w:type="dxa"/>
          </w:tcPr>
          <w:p w14:paraId="539EA24D">
            <w:pPr>
              <w:autoSpaceDE w:val="0"/>
              <w:autoSpaceDN w:val="0"/>
              <w:adjustRightInd w:val="0"/>
              <w:spacing w:after="0" w:line="276" w:lineRule="auto"/>
              <w:jc w:val="center"/>
              <w:rPr>
                <w:rFonts w:ascii="Times New Roman" w:hAnsi="Times New Roman" w:cs="Times New Roman"/>
                <w:color w:val="000000"/>
              </w:rPr>
            </w:pPr>
            <w:r>
              <w:rPr>
                <w:rFonts w:ascii="Times New Roman" w:hAnsi="Times New Roman" w:cs="Times New Roman"/>
                <w:color w:val="000000"/>
              </w:rPr>
              <w:t>Activity and examples of potential issues and/or impacts</w:t>
            </w:r>
          </w:p>
        </w:tc>
        <w:tc>
          <w:tcPr>
            <w:tcW w:w="1732" w:type="dxa"/>
          </w:tcPr>
          <w:p w14:paraId="07C54E99">
            <w:pPr>
              <w:autoSpaceDE w:val="0"/>
              <w:autoSpaceDN w:val="0"/>
              <w:adjustRightInd w:val="0"/>
              <w:spacing w:after="160" w:line="276" w:lineRule="auto"/>
              <w:jc w:val="center"/>
              <w:rPr>
                <w:rFonts w:ascii="Times New Roman" w:hAnsi="Times New Roman" w:cs="Times New Roman"/>
                <w:color w:val="000000"/>
              </w:rPr>
            </w:pPr>
            <w:r>
              <w:rPr>
                <w:rFonts w:ascii="Times New Roman" w:hAnsi="Times New Roman" w:cs="Times New Roman"/>
                <w:color w:val="000000"/>
              </w:rPr>
              <w:t>Status</w:t>
            </w:r>
          </w:p>
          <w:p w14:paraId="37650944">
            <w:pPr>
              <w:autoSpaceDE w:val="0"/>
              <w:autoSpaceDN w:val="0"/>
              <w:adjustRightInd w:val="0"/>
              <w:spacing w:after="160" w:line="276" w:lineRule="auto"/>
              <w:jc w:val="center"/>
              <w:rPr>
                <w:rFonts w:ascii="Times New Roman" w:hAnsi="Times New Roman" w:cs="Times New Roman"/>
                <w:color w:val="000000"/>
              </w:rPr>
            </w:pPr>
            <w:r>
              <w:rPr>
                <w:rFonts w:ascii="Times New Roman" w:hAnsi="Times New Roman" w:cs="Times New Roman"/>
                <w:color w:val="000000"/>
              </w:rPr>
              <w:t>If Yes for any</w:t>
            </w:r>
          </w:p>
        </w:tc>
        <w:tc>
          <w:tcPr>
            <w:tcW w:w="3158" w:type="dxa"/>
          </w:tcPr>
          <w:p w14:paraId="3A214CB2">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Additional references</w:t>
            </w:r>
          </w:p>
        </w:tc>
      </w:tr>
      <w:tr w14:paraId="18B6A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42F6E82A">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535799D">
            <w:pPr>
              <w:pStyle w:val="39"/>
              <w:numPr>
                <w:ilvl w:val="0"/>
                <w:numId w:val="11"/>
              </w:numPr>
              <w:autoSpaceDE w:val="0"/>
              <w:autoSpaceDN w:val="0"/>
              <w:adjustRightInd w:val="0"/>
              <w:spacing w:after="0" w:line="276" w:lineRule="auto"/>
              <w:ind w:left="450"/>
              <w:rPr>
                <w:rFonts w:ascii="Times New Roman" w:hAnsi="Times New Roman" w:cs="Times New Roman"/>
                <w:color w:val="000000"/>
              </w:rPr>
            </w:pPr>
            <w:r>
              <w:rPr>
                <w:rFonts w:ascii="Times New Roman" w:hAnsi="Times New Roman" w:cs="Times New Roman"/>
                <w:color w:val="000000"/>
              </w:rPr>
              <w:t xml:space="preserve">Building rehabilitation </w:t>
            </w:r>
          </w:p>
          <w:p w14:paraId="3F873428">
            <w:pPr>
              <w:pStyle w:val="39"/>
              <w:numPr>
                <w:ilvl w:val="0"/>
                <w:numId w:val="11"/>
              </w:numPr>
              <w:autoSpaceDE w:val="0"/>
              <w:autoSpaceDN w:val="0"/>
              <w:adjustRightInd w:val="0"/>
              <w:spacing w:after="160" w:line="276" w:lineRule="auto"/>
              <w:ind w:left="450"/>
              <w:rPr>
                <w:rFonts w:ascii="Times New Roman" w:hAnsi="Times New Roman" w:cs="Times New Roman"/>
                <w:color w:val="000000"/>
              </w:rPr>
            </w:pPr>
            <w:r>
              <w:rPr>
                <w:rFonts w:ascii="Times New Roman" w:hAnsi="Times New Roman" w:cs="Times New Roman"/>
                <w:color w:val="000000"/>
              </w:rPr>
              <w:t xml:space="preserve"> Site specific vehicular traffic</w:t>
            </w:r>
          </w:p>
          <w:p w14:paraId="40E8BE3E">
            <w:pPr>
              <w:pStyle w:val="39"/>
              <w:numPr>
                <w:ilvl w:val="0"/>
                <w:numId w:val="11"/>
              </w:numPr>
              <w:autoSpaceDE w:val="0"/>
              <w:autoSpaceDN w:val="0"/>
              <w:adjustRightInd w:val="0"/>
              <w:spacing w:after="160" w:line="276" w:lineRule="auto"/>
              <w:ind w:left="450"/>
              <w:rPr>
                <w:rFonts w:ascii="Times New Roman" w:hAnsi="Times New Roman" w:cs="Times New Roman"/>
                <w:color w:val="000000"/>
              </w:rPr>
            </w:pPr>
            <w:r>
              <w:rPr>
                <w:rFonts w:ascii="Times New Roman" w:hAnsi="Times New Roman" w:cs="Times New Roman"/>
                <w:color w:val="000000"/>
              </w:rPr>
              <w:t>Increase in dust and noise from demolition and/or construction</w:t>
            </w:r>
          </w:p>
          <w:p w14:paraId="3BD736F3">
            <w:pPr>
              <w:pStyle w:val="39"/>
              <w:numPr>
                <w:ilvl w:val="0"/>
                <w:numId w:val="11"/>
              </w:numPr>
              <w:autoSpaceDE w:val="0"/>
              <w:autoSpaceDN w:val="0"/>
              <w:adjustRightInd w:val="0"/>
              <w:spacing w:after="160" w:line="276" w:lineRule="auto"/>
              <w:ind w:left="450"/>
              <w:rPr>
                <w:rFonts w:ascii="Times New Roman" w:hAnsi="Times New Roman" w:cs="Times New Roman"/>
                <w:color w:val="000000"/>
              </w:rPr>
            </w:pPr>
            <w:r>
              <w:rPr>
                <w:rFonts w:ascii="Times New Roman" w:hAnsi="Times New Roman" w:cs="Times New Roman"/>
                <w:color w:val="000000"/>
              </w:rPr>
              <w:t xml:space="preserve">Construction waste </w:t>
            </w:r>
          </w:p>
          <w:p w14:paraId="4A63EDBB">
            <w:pPr>
              <w:autoSpaceDE w:val="0"/>
              <w:autoSpaceDN w:val="0"/>
              <w:adjustRightInd w:val="0"/>
              <w:spacing w:after="160" w:line="276" w:lineRule="auto"/>
              <w:jc w:val="both"/>
              <w:rPr>
                <w:rFonts w:ascii="Times New Roman" w:hAnsi="Times New Roman" w:cs="Times New Roman"/>
                <w:color w:val="000000"/>
              </w:rPr>
            </w:pPr>
          </w:p>
        </w:tc>
        <w:tc>
          <w:tcPr>
            <w:tcW w:w="1732" w:type="dxa"/>
          </w:tcPr>
          <w:p w14:paraId="76A3F686">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 Yes [ X] No</w:t>
            </w:r>
          </w:p>
        </w:tc>
        <w:tc>
          <w:tcPr>
            <w:tcW w:w="3158" w:type="dxa"/>
          </w:tcPr>
          <w:p w14:paraId="0B35597C">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See Section </w:t>
            </w:r>
            <w:r>
              <w:rPr>
                <w:rFonts w:ascii="Times New Roman" w:hAnsi="Times New Roman" w:cs="Times New Roman"/>
                <w:b/>
                <w:bCs/>
                <w:color w:val="000000"/>
              </w:rPr>
              <w:t>B</w:t>
            </w:r>
            <w:r>
              <w:rPr>
                <w:rFonts w:ascii="Times New Roman" w:hAnsi="Times New Roman" w:cs="Times New Roman"/>
                <w:color w:val="000000"/>
              </w:rPr>
              <w:t xml:space="preserve"> below</w:t>
            </w:r>
          </w:p>
        </w:tc>
      </w:tr>
      <w:tr w14:paraId="0D6AD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31FC6163">
            <w:pPr>
              <w:autoSpaceDE w:val="0"/>
              <w:autoSpaceDN w:val="0"/>
              <w:adjustRightInd w:val="0"/>
              <w:spacing w:after="0" w:line="276" w:lineRule="auto"/>
              <w:jc w:val="both"/>
              <w:rPr>
                <w:rFonts w:ascii="Times New Roman" w:hAnsi="Times New Roman" w:cs="Times New Roman"/>
                <w:color w:val="000000"/>
              </w:rPr>
            </w:pPr>
          </w:p>
        </w:tc>
        <w:tc>
          <w:tcPr>
            <w:tcW w:w="2340" w:type="dxa"/>
          </w:tcPr>
          <w:p w14:paraId="3A30D547">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 xml:space="preserve">Individual wastewater treatment system </w:t>
            </w:r>
          </w:p>
          <w:p w14:paraId="7E72D51D">
            <w:pPr>
              <w:autoSpaceDE w:val="0"/>
              <w:autoSpaceDN w:val="0"/>
              <w:adjustRightInd w:val="0"/>
              <w:spacing w:after="160" w:line="276" w:lineRule="auto"/>
              <w:jc w:val="both"/>
              <w:rPr>
                <w:rFonts w:ascii="Times New Roman" w:hAnsi="Times New Roman" w:cs="Times New Roman"/>
                <w:color w:val="000000"/>
              </w:rPr>
            </w:pPr>
          </w:p>
          <w:p w14:paraId="1666AEF3">
            <w:pPr>
              <w:pStyle w:val="39"/>
              <w:numPr>
                <w:ilvl w:val="0"/>
                <w:numId w:val="12"/>
              </w:numPr>
              <w:autoSpaceDE w:val="0"/>
              <w:autoSpaceDN w:val="0"/>
              <w:adjustRightInd w:val="0"/>
              <w:spacing w:after="160" w:line="276" w:lineRule="auto"/>
              <w:ind w:left="450"/>
              <w:jc w:val="both"/>
              <w:rPr>
                <w:rFonts w:ascii="Times New Roman" w:hAnsi="Times New Roman" w:cs="Times New Roman"/>
                <w:color w:val="000000"/>
              </w:rPr>
            </w:pPr>
            <w:r>
              <w:rPr>
                <w:rFonts w:ascii="Times New Roman" w:hAnsi="Times New Roman" w:cs="Times New Roman"/>
                <w:color w:val="000000"/>
              </w:rPr>
              <w:t>Effluent and / or discharges into receiving waters</w:t>
            </w:r>
          </w:p>
        </w:tc>
        <w:tc>
          <w:tcPr>
            <w:tcW w:w="1732" w:type="dxa"/>
          </w:tcPr>
          <w:p w14:paraId="7C526C07">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Yes [[X] No</w:t>
            </w:r>
          </w:p>
        </w:tc>
        <w:tc>
          <w:tcPr>
            <w:tcW w:w="3158" w:type="dxa"/>
          </w:tcPr>
          <w:p w14:paraId="01073AE3">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See Section </w:t>
            </w:r>
            <w:r>
              <w:rPr>
                <w:rFonts w:ascii="Times New Roman" w:hAnsi="Times New Roman" w:cs="Times New Roman"/>
                <w:b/>
                <w:bCs/>
                <w:color w:val="000000"/>
              </w:rPr>
              <w:t>C</w:t>
            </w:r>
            <w:r>
              <w:rPr>
                <w:rFonts w:ascii="Times New Roman" w:hAnsi="Times New Roman" w:cs="Times New Roman"/>
                <w:color w:val="000000"/>
              </w:rPr>
              <w:t xml:space="preserve"> below</w:t>
            </w:r>
          </w:p>
        </w:tc>
      </w:tr>
      <w:tr w14:paraId="711A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0F7BD7CA">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D120912">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Hazardous or toxic materials</w:t>
            </w:r>
            <w:r>
              <w:rPr>
                <w:rStyle w:val="18"/>
                <w:rFonts w:ascii="Times New Roman" w:hAnsi="Times New Roman" w:cs="Times New Roman"/>
                <w:color w:val="000000"/>
              </w:rPr>
              <w:footnoteReference w:id="1"/>
            </w:r>
            <w:r>
              <w:rPr>
                <w:rFonts w:ascii="Times New Roman" w:hAnsi="Times New Roman" w:cs="Times New Roman"/>
                <w:color w:val="000000"/>
              </w:rPr>
              <w:t xml:space="preserve"> </w:t>
            </w:r>
          </w:p>
          <w:p w14:paraId="57F2C337">
            <w:pPr>
              <w:pStyle w:val="39"/>
              <w:numPr>
                <w:ilvl w:val="0"/>
                <w:numId w:val="13"/>
              </w:numPr>
              <w:autoSpaceDE w:val="0"/>
              <w:autoSpaceDN w:val="0"/>
              <w:adjustRightInd w:val="0"/>
              <w:spacing w:after="0" w:line="276" w:lineRule="auto"/>
              <w:ind w:left="450"/>
              <w:rPr>
                <w:rFonts w:ascii="Times New Roman" w:hAnsi="Times New Roman" w:cs="Times New Roman"/>
                <w:color w:val="000000"/>
              </w:rPr>
            </w:pPr>
            <w:r>
              <w:rPr>
                <w:rFonts w:ascii="Times New Roman" w:hAnsi="Times New Roman" w:cs="Times New Roman"/>
                <w:color w:val="000000"/>
              </w:rPr>
              <w:t>Removal and disposal of toxic and/or hazardous demolition and / or construction waste Storage of machine oils and lubricants</w:t>
            </w:r>
          </w:p>
        </w:tc>
        <w:tc>
          <w:tcPr>
            <w:tcW w:w="1732" w:type="dxa"/>
          </w:tcPr>
          <w:p w14:paraId="1738005B">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 Yes [X ] No</w:t>
            </w:r>
          </w:p>
        </w:tc>
        <w:tc>
          <w:tcPr>
            <w:tcW w:w="3158" w:type="dxa"/>
          </w:tcPr>
          <w:p w14:paraId="5A7261B3">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See Section </w:t>
            </w:r>
            <w:r>
              <w:rPr>
                <w:rFonts w:ascii="Times New Roman" w:hAnsi="Times New Roman" w:cs="Times New Roman"/>
                <w:b/>
                <w:bCs/>
                <w:color w:val="000000"/>
              </w:rPr>
              <w:t>D</w:t>
            </w:r>
            <w:r>
              <w:rPr>
                <w:rFonts w:ascii="Times New Roman" w:hAnsi="Times New Roman" w:cs="Times New Roman"/>
                <w:color w:val="000000"/>
              </w:rPr>
              <w:t xml:space="preserve"> below</w:t>
            </w:r>
          </w:p>
        </w:tc>
      </w:tr>
      <w:tr w14:paraId="34760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0" w:type="dxa"/>
          </w:tcPr>
          <w:p w14:paraId="2FB04526">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859A2A4">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Traffic and Pedestrian Safety</w:t>
            </w:r>
          </w:p>
          <w:p w14:paraId="41C12D44">
            <w:pPr>
              <w:pStyle w:val="39"/>
              <w:numPr>
                <w:ilvl w:val="0"/>
                <w:numId w:val="14"/>
              </w:numPr>
              <w:autoSpaceDE w:val="0"/>
              <w:autoSpaceDN w:val="0"/>
              <w:adjustRightInd w:val="0"/>
              <w:spacing w:after="0" w:line="276" w:lineRule="auto"/>
              <w:ind w:left="540"/>
              <w:rPr>
                <w:rFonts w:ascii="Times New Roman" w:hAnsi="Times New Roman" w:cs="Times New Roman"/>
                <w:color w:val="000000"/>
              </w:rPr>
            </w:pPr>
            <w:r>
              <w:rPr>
                <w:rFonts w:ascii="Times New Roman" w:hAnsi="Times New Roman" w:cs="Times New Roman"/>
                <w:color w:val="000000"/>
              </w:rPr>
              <w:t xml:space="preserve">Site specific vehicular traffic </w:t>
            </w:r>
          </w:p>
          <w:p w14:paraId="2AF272AE">
            <w:pPr>
              <w:pStyle w:val="39"/>
              <w:numPr>
                <w:ilvl w:val="0"/>
                <w:numId w:val="14"/>
              </w:numPr>
              <w:autoSpaceDE w:val="0"/>
              <w:autoSpaceDN w:val="0"/>
              <w:adjustRightInd w:val="0"/>
              <w:spacing w:after="160" w:line="276" w:lineRule="auto"/>
              <w:ind w:left="540"/>
              <w:jc w:val="both"/>
              <w:rPr>
                <w:rFonts w:ascii="Times New Roman" w:hAnsi="Times New Roman" w:cs="Times New Roman"/>
                <w:color w:val="000000"/>
              </w:rPr>
            </w:pPr>
            <w:r>
              <w:rPr>
                <w:rFonts w:ascii="Times New Roman" w:hAnsi="Times New Roman" w:cs="Times New Roman"/>
                <w:color w:val="000000"/>
              </w:rPr>
              <w:t xml:space="preserve"> Site is in a populated area</w:t>
            </w:r>
          </w:p>
        </w:tc>
        <w:tc>
          <w:tcPr>
            <w:tcW w:w="1732" w:type="dxa"/>
          </w:tcPr>
          <w:p w14:paraId="3226430C">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 Yes [X ] No</w:t>
            </w:r>
          </w:p>
        </w:tc>
        <w:tc>
          <w:tcPr>
            <w:tcW w:w="3158" w:type="dxa"/>
          </w:tcPr>
          <w:p w14:paraId="00E6E1EE">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 xml:space="preserve">See Section </w:t>
            </w:r>
            <w:r>
              <w:rPr>
                <w:rFonts w:ascii="Times New Roman" w:hAnsi="Times New Roman" w:cs="Times New Roman"/>
                <w:b/>
                <w:bCs/>
                <w:color w:val="000000"/>
              </w:rPr>
              <w:t>E</w:t>
            </w:r>
            <w:r>
              <w:rPr>
                <w:rFonts w:ascii="Times New Roman" w:hAnsi="Times New Roman" w:cs="Times New Roman"/>
                <w:color w:val="000000"/>
              </w:rPr>
              <w:t xml:space="preserve"> below</w:t>
            </w:r>
          </w:p>
        </w:tc>
      </w:tr>
      <w:tr w14:paraId="4F6C3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07" w:hRule="atLeast"/>
        </w:trPr>
        <w:tc>
          <w:tcPr>
            <w:tcW w:w="2120" w:type="dxa"/>
          </w:tcPr>
          <w:p w14:paraId="76092242">
            <w:pPr>
              <w:autoSpaceDE w:val="0"/>
              <w:autoSpaceDN w:val="0"/>
              <w:adjustRightInd w:val="0"/>
              <w:spacing w:after="0" w:line="276" w:lineRule="auto"/>
              <w:jc w:val="both"/>
              <w:rPr>
                <w:rFonts w:ascii="Times New Roman" w:hAnsi="Times New Roman" w:cs="Times New Roman"/>
                <w:color w:val="000000"/>
              </w:rPr>
            </w:pPr>
          </w:p>
        </w:tc>
        <w:tc>
          <w:tcPr>
            <w:tcW w:w="2340" w:type="dxa"/>
          </w:tcPr>
          <w:p w14:paraId="16E0B8B8">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Social impacts</w:t>
            </w:r>
          </w:p>
          <w:p w14:paraId="1284E4A0">
            <w:pPr>
              <w:pStyle w:val="39"/>
              <w:numPr>
                <w:ilvl w:val="1"/>
                <w:numId w:val="15"/>
              </w:numPr>
              <w:tabs>
                <w:tab w:val="clear" w:pos="1440"/>
              </w:tabs>
              <w:autoSpaceDE w:val="0"/>
              <w:autoSpaceDN w:val="0"/>
              <w:adjustRightInd w:val="0"/>
              <w:spacing w:after="0" w:line="276" w:lineRule="auto"/>
              <w:ind w:left="320" w:hanging="178"/>
              <w:rPr>
                <w:rFonts w:ascii="Times New Roman" w:hAnsi="Times New Roman" w:cs="Times New Roman"/>
                <w:color w:val="000000"/>
              </w:rPr>
            </w:pPr>
            <w:r>
              <w:rPr>
                <w:rFonts w:ascii="Times New Roman" w:hAnsi="Times New Roman" w:cs="Times New Roman"/>
                <w:color w:val="000000"/>
              </w:rPr>
              <w:t>Protection of workers</w:t>
            </w:r>
          </w:p>
          <w:p w14:paraId="3B6F589D">
            <w:pPr>
              <w:pStyle w:val="39"/>
              <w:numPr>
                <w:ilvl w:val="1"/>
                <w:numId w:val="15"/>
              </w:numPr>
              <w:tabs>
                <w:tab w:val="clear" w:pos="1440"/>
              </w:tabs>
              <w:autoSpaceDE w:val="0"/>
              <w:autoSpaceDN w:val="0"/>
              <w:adjustRightInd w:val="0"/>
              <w:spacing w:after="0" w:line="276" w:lineRule="auto"/>
              <w:ind w:left="320" w:hanging="178"/>
              <w:rPr>
                <w:rFonts w:ascii="Times New Roman" w:hAnsi="Times New Roman" w:cs="Times New Roman"/>
                <w:color w:val="000000"/>
              </w:rPr>
            </w:pPr>
            <w:r>
              <w:rPr>
                <w:rFonts w:ascii="Times New Roman" w:hAnsi="Times New Roman" w:cs="Times New Roman"/>
                <w:color w:val="000000"/>
              </w:rPr>
              <w:t xml:space="preserve">Trafficking in person  risk </w:t>
            </w:r>
          </w:p>
          <w:p w14:paraId="5774272D">
            <w:pPr>
              <w:pStyle w:val="39"/>
              <w:numPr>
                <w:ilvl w:val="1"/>
                <w:numId w:val="15"/>
              </w:numPr>
              <w:tabs>
                <w:tab w:val="clear" w:pos="1440"/>
              </w:tabs>
              <w:autoSpaceDE w:val="0"/>
              <w:autoSpaceDN w:val="0"/>
              <w:adjustRightInd w:val="0"/>
              <w:spacing w:after="0" w:line="276" w:lineRule="auto"/>
              <w:ind w:left="320" w:hanging="178"/>
              <w:rPr>
                <w:rFonts w:ascii="Times New Roman" w:hAnsi="Times New Roman" w:cs="Times New Roman"/>
                <w:color w:val="000000"/>
              </w:rPr>
            </w:pPr>
            <w:r>
              <w:rPr>
                <w:rFonts w:ascii="Times New Roman" w:hAnsi="Times New Roman" w:cs="Times New Roman"/>
                <w:color w:val="000000"/>
              </w:rPr>
              <w:t xml:space="preserve">Involvements in decision making </w:t>
            </w:r>
          </w:p>
        </w:tc>
        <w:tc>
          <w:tcPr>
            <w:tcW w:w="1732" w:type="dxa"/>
          </w:tcPr>
          <w:p w14:paraId="1E0FC417">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 Yes [X ] No</w:t>
            </w:r>
          </w:p>
        </w:tc>
        <w:tc>
          <w:tcPr>
            <w:tcW w:w="3158" w:type="dxa"/>
          </w:tcPr>
          <w:p w14:paraId="5DE2588E">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See Section </w:t>
            </w:r>
            <w:r>
              <w:rPr>
                <w:rFonts w:ascii="Times New Roman" w:hAnsi="Times New Roman" w:cs="Times New Roman"/>
                <w:b/>
                <w:bCs/>
                <w:color w:val="000000"/>
              </w:rPr>
              <w:t xml:space="preserve">F </w:t>
            </w:r>
            <w:r>
              <w:rPr>
                <w:rFonts w:ascii="Times New Roman" w:hAnsi="Times New Roman" w:cs="Times New Roman"/>
                <w:color w:val="000000"/>
              </w:rPr>
              <w:t>below</w:t>
            </w:r>
          </w:p>
        </w:tc>
      </w:tr>
    </w:tbl>
    <w:p w14:paraId="300E70B8">
      <w:pPr>
        <w:autoSpaceDE w:val="0"/>
        <w:autoSpaceDN w:val="0"/>
        <w:adjustRightInd w:val="0"/>
        <w:spacing w:after="0" w:line="276" w:lineRule="auto"/>
        <w:jc w:val="both"/>
        <w:rPr>
          <w:rFonts w:ascii="Times New Roman" w:hAnsi="Times New Roman" w:cs="Times New Roman"/>
          <w:color w:val="000000"/>
        </w:rPr>
      </w:pPr>
    </w:p>
    <w:p w14:paraId="3507074B">
      <w:pPr>
        <w:autoSpaceDE w:val="0"/>
        <w:autoSpaceDN w:val="0"/>
        <w:adjustRightInd w:val="0"/>
        <w:spacing w:after="0" w:line="276" w:lineRule="auto"/>
        <w:jc w:val="both"/>
        <w:rPr>
          <w:rFonts w:ascii="Times New Roman" w:hAnsi="Times New Roman" w:cs="Times New Roman"/>
          <w:color w:val="000000"/>
        </w:rPr>
      </w:pPr>
    </w:p>
    <w:p w14:paraId="69AF8C2B">
      <w:pPr>
        <w:autoSpaceDE w:val="0"/>
        <w:autoSpaceDN w:val="0"/>
        <w:adjustRightInd w:val="0"/>
        <w:spacing w:after="0" w:line="276" w:lineRule="auto"/>
        <w:jc w:val="both"/>
        <w:rPr>
          <w:rFonts w:ascii="Times New Roman" w:hAnsi="Times New Roman" w:cs="Times New Roman"/>
          <w:color w:val="000000"/>
        </w:rPr>
      </w:pPr>
      <w:bookmarkStart w:id="16" w:name="_Hlk197892242"/>
    </w:p>
    <w:p w14:paraId="1EF912FE">
      <w:pPr>
        <w:autoSpaceDE w:val="0"/>
        <w:autoSpaceDN w:val="0"/>
        <w:adjustRightInd w:val="0"/>
        <w:spacing w:after="0" w:line="276" w:lineRule="auto"/>
        <w:jc w:val="both"/>
        <w:rPr>
          <w:rFonts w:ascii="Times New Roman" w:hAnsi="Times New Roman" w:cs="Times New Roman"/>
          <w:color w:val="000000"/>
        </w:rPr>
      </w:pPr>
    </w:p>
    <w:tbl>
      <w:tblPr>
        <w:tblStyle w:val="24"/>
        <w:tblW w:w="99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9"/>
        <w:gridCol w:w="1651"/>
        <w:gridCol w:w="4249"/>
        <w:gridCol w:w="2319"/>
      </w:tblGrid>
      <w:tr w14:paraId="2C5EF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3" w:type="dxa"/>
            <w:gridSpan w:val="3"/>
            <w:shd w:val="clear" w:color="auto" w:fill="C1E4F5" w:themeFill="accent1" w:themeFillTint="33"/>
          </w:tcPr>
          <w:p w14:paraId="545A6EF1">
            <w:pPr>
              <w:autoSpaceDE w:val="0"/>
              <w:autoSpaceDN w:val="0"/>
              <w:adjustRightInd w:val="0"/>
              <w:spacing w:after="160" w:line="276" w:lineRule="auto"/>
              <w:jc w:val="both"/>
              <w:rPr>
                <w:rFonts w:ascii="Times New Roman" w:hAnsi="Times New Roman" w:cs="Times New Roman"/>
                <w:color w:val="000000"/>
              </w:rPr>
            </w:pPr>
            <w:bookmarkStart w:id="17" w:name="_Hlk197893965"/>
            <w:r>
              <w:rPr>
                <w:rFonts w:ascii="Times New Roman" w:hAnsi="Times New Roman" w:cs="Times New Roman"/>
                <w:b/>
                <w:bCs/>
                <w:color w:val="000000"/>
              </w:rPr>
              <w:t>PART 3: MITIGATION MEASURES</w:t>
            </w:r>
          </w:p>
        </w:tc>
        <w:tc>
          <w:tcPr>
            <w:tcW w:w="1985" w:type="dxa"/>
            <w:shd w:val="clear" w:color="auto" w:fill="C1E4F5" w:themeFill="accent1" w:themeFillTint="33"/>
          </w:tcPr>
          <w:p w14:paraId="3E3AD0C1">
            <w:pPr>
              <w:autoSpaceDE w:val="0"/>
              <w:autoSpaceDN w:val="0"/>
              <w:adjustRightInd w:val="0"/>
              <w:spacing w:after="0" w:line="276" w:lineRule="auto"/>
              <w:jc w:val="both"/>
              <w:rPr>
                <w:rFonts w:ascii="Times New Roman" w:hAnsi="Times New Roman" w:cs="Times New Roman"/>
                <w:b/>
                <w:bCs/>
                <w:color w:val="000000"/>
              </w:rPr>
            </w:pPr>
          </w:p>
        </w:tc>
      </w:tr>
      <w:tr w14:paraId="2784B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523B9630">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ACTIVITY</w:t>
            </w:r>
          </w:p>
        </w:tc>
        <w:tc>
          <w:tcPr>
            <w:tcW w:w="1663" w:type="dxa"/>
          </w:tcPr>
          <w:p w14:paraId="32A1CF53">
            <w:pPr>
              <w:autoSpaceDE w:val="0"/>
              <w:autoSpaceDN w:val="0"/>
              <w:adjustRightInd w:val="0"/>
              <w:spacing w:after="0" w:line="276" w:lineRule="auto"/>
              <w:jc w:val="both"/>
              <w:rPr>
                <w:rFonts w:ascii="Times New Roman" w:hAnsi="Times New Roman" w:cs="Times New Roman"/>
                <w:b/>
                <w:bCs/>
                <w:color w:val="000000"/>
              </w:rPr>
            </w:pPr>
          </w:p>
          <w:p w14:paraId="52FD8A2D">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IMPACT</w:t>
            </w:r>
          </w:p>
        </w:tc>
        <w:tc>
          <w:tcPr>
            <w:tcW w:w="4537" w:type="dxa"/>
          </w:tcPr>
          <w:p w14:paraId="63AAB8E9">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GOOD PRACTICES MITIGATION MEASURES CHECKLIST</w:t>
            </w:r>
          </w:p>
        </w:tc>
        <w:tc>
          <w:tcPr>
            <w:tcW w:w="1985" w:type="dxa"/>
          </w:tcPr>
          <w:p w14:paraId="23F1C7F8">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RESPONSIBLE ENTITY FOR IMPLEMENTATION</w:t>
            </w:r>
          </w:p>
        </w:tc>
      </w:tr>
      <w:tr w14:paraId="1C9DF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2979246C">
            <w:pPr>
              <w:pStyle w:val="39"/>
              <w:numPr>
                <w:ilvl w:val="0"/>
                <w:numId w:val="16"/>
              </w:numPr>
              <w:autoSpaceDE w:val="0"/>
              <w:autoSpaceDN w:val="0"/>
              <w:adjustRightInd w:val="0"/>
              <w:spacing w:after="0" w:line="276" w:lineRule="auto"/>
              <w:ind w:left="270" w:hanging="270"/>
              <w:jc w:val="both"/>
              <w:rPr>
                <w:rFonts w:ascii="Times New Roman" w:hAnsi="Times New Roman" w:cs="Times New Roman"/>
                <w:color w:val="000000"/>
              </w:rPr>
            </w:pPr>
            <w:r>
              <w:rPr>
                <w:rFonts w:ascii="Times New Roman" w:hAnsi="Times New Roman" w:cs="Times New Roman"/>
                <w:color w:val="000000"/>
              </w:rPr>
              <w:t xml:space="preserve">General conditions </w:t>
            </w:r>
          </w:p>
        </w:tc>
        <w:tc>
          <w:tcPr>
            <w:tcW w:w="1663" w:type="dxa"/>
          </w:tcPr>
          <w:p w14:paraId="27770B18">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Notification and Worker Safety</w:t>
            </w:r>
          </w:p>
          <w:p w14:paraId="1CF1529D">
            <w:pPr>
              <w:autoSpaceDE w:val="0"/>
              <w:autoSpaceDN w:val="0"/>
              <w:adjustRightInd w:val="0"/>
              <w:spacing w:after="0" w:line="276" w:lineRule="auto"/>
              <w:jc w:val="both"/>
              <w:rPr>
                <w:rFonts w:ascii="Times New Roman" w:hAnsi="Times New Roman" w:cs="Times New Roman"/>
                <w:color w:val="000000"/>
              </w:rPr>
            </w:pPr>
          </w:p>
          <w:p w14:paraId="70FB2208">
            <w:pPr>
              <w:autoSpaceDE w:val="0"/>
              <w:autoSpaceDN w:val="0"/>
              <w:adjustRightInd w:val="0"/>
              <w:spacing w:after="160" w:line="276" w:lineRule="auto"/>
              <w:jc w:val="both"/>
              <w:rPr>
                <w:rFonts w:ascii="Times New Roman" w:hAnsi="Times New Roman" w:cs="Times New Roman"/>
                <w:color w:val="000000"/>
              </w:rPr>
            </w:pPr>
          </w:p>
        </w:tc>
        <w:tc>
          <w:tcPr>
            <w:tcW w:w="4537" w:type="dxa"/>
          </w:tcPr>
          <w:p w14:paraId="6D55744E">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The local construction and environment inspectorates and communities have been notified of upcoming activities </w:t>
            </w:r>
          </w:p>
          <w:p w14:paraId="025BC7A8">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The public has been notified of the works through appropriate notification in the media and/or at publicly accessible sites (including the site of the works) </w:t>
            </w:r>
          </w:p>
          <w:p w14:paraId="16071A20">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All legally required permits (to include not limited to land use, resource use, dumping, sanitary inspection permit) have been acquired for construction and/or rehabilitation </w:t>
            </w:r>
          </w:p>
          <w:p w14:paraId="298209E8">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All work will be carried out in a safe and disciplined manner designed to minimize impacts on neighboring residents and environment. </w:t>
            </w:r>
          </w:p>
          <w:p w14:paraId="7CC2D04F">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Workers’ PPE will comply with international good practice (always hardhats, as needed masks and safety glasses, harnesses and safety boots).</w:t>
            </w:r>
          </w:p>
          <w:p w14:paraId="7CADAD20">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Appropriate signposting of the sites will inform workers of key rules and regulations to follow.</w:t>
            </w:r>
          </w:p>
          <w:p w14:paraId="3EDD793B">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Arranging of hydration and shaded rest areas for workers.</w:t>
            </w:r>
          </w:p>
          <w:p w14:paraId="55EA110A">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Conduction of training on site safety.</w:t>
            </w:r>
          </w:p>
          <w:p w14:paraId="3026F295">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Availability of first-aid kits, emergency preparedness and first-aid kits access.</w:t>
            </w:r>
          </w:p>
          <w:p w14:paraId="76902ACE">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Installing Informative Panels for the Project on sites.</w:t>
            </w:r>
          </w:p>
          <w:p w14:paraId="789A4425">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Enforcement of Code of Conduct for all workers and contractors to ensure respectful and safe behavior on-site.</w:t>
            </w:r>
          </w:p>
          <w:p w14:paraId="740E86E9">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Conduction of SEA/SH (Sexual Exploitation, Abuse, and Harassment) awareness training for workers.</w:t>
            </w:r>
          </w:p>
          <w:p w14:paraId="58BE6E65">
            <w:pPr>
              <w:pStyle w:val="39"/>
              <w:numPr>
                <w:ilvl w:val="0"/>
                <w:numId w:val="17"/>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Ensure the establishment of an accessible, confidential, and well-communicated grievance submission channel for both workers and community members. </w:t>
            </w:r>
          </w:p>
        </w:tc>
        <w:tc>
          <w:tcPr>
            <w:tcW w:w="1985" w:type="dxa"/>
          </w:tcPr>
          <w:p w14:paraId="19BF01CF">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Contractor </w:t>
            </w:r>
          </w:p>
        </w:tc>
      </w:tr>
      <w:tr w14:paraId="51BA0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1733" w:type="dxa"/>
            <w:vMerge w:val="restart"/>
          </w:tcPr>
          <w:p w14:paraId="7229202E">
            <w:pPr>
              <w:pStyle w:val="39"/>
              <w:numPr>
                <w:ilvl w:val="0"/>
                <w:numId w:val="16"/>
              </w:numPr>
              <w:autoSpaceDE w:val="0"/>
              <w:autoSpaceDN w:val="0"/>
              <w:adjustRightInd w:val="0"/>
              <w:spacing w:after="0" w:line="276" w:lineRule="auto"/>
              <w:ind w:left="270" w:hanging="270"/>
              <w:rPr>
                <w:rFonts w:ascii="Times New Roman" w:hAnsi="Times New Roman" w:cs="Times New Roman"/>
                <w:color w:val="000000"/>
              </w:rPr>
            </w:pPr>
            <w:r>
              <w:rPr>
                <w:rFonts w:ascii="Times New Roman" w:hAnsi="Times New Roman" w:cs="Times New Roman"/>
                <w:color w:val="000000"/>
              </w:rPr>
              <w:t>General Rehabilitation and /or Construction Activities</w:t>
            </w:r>
          </w:p>
        </w:tc>
        <w:tc>
          <w:tcPr>
            <w:tcW w:w="1663" w:type="dxa"/>
          </w:tcPr>
          <w:p w14:paraId="2EC47448">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Air Quality</w:t>
            </w:r>
          </w:p>
          <w:p w14:paraId="41ADB377">
            <w:pPr>
              <w:autoSpaceDE w:val="0"/>
              <w:autoSpaceDN w:val="0"/>
              <w:adjustRightInd w:val="0"/>
              <w:spacing w:after="0" w:line="276" w:lineRule="auto"/>
              <w:jc w:val="both"/>
              <w:rPr>
                <w:rFonts w:ascii="Times New Roman" w:hAnsi="Times New Roman" w:cs="Times New Roman"/>
                <w:color w:val="000000"/>
              </w:rPr>
            </w:pPr>
          </w:p>
          <w:p w14:paraId="3FCAB6BF">
            <w:pPr>
              <w:autoSpaceDE w:val="0"/>
              <w:autoSpaceDN w:val="0"/>
              <w:adjustRightInd w:val="0"/>
              <w:spacing w:after="160" w:line="276" w:lineRule="auto"/>
              <w:jc w:val="both"/>
              <w:rPr>
                <w:rFonts w:ascii="Times New Roman" w:hAnsi="Times New Roman" w:cs="Times New Roman"/>
                <w:color w:val="000000"/>
              </w:rPr>
            </w:pPr>
          </w:p>
          <w:p w14:paraId="5ED1810C">
            <w:pPr>
              <w:autoSpaceDE w:val="0"/>
              <w:autoSpaceDN w:val="0"/>
              <w:adjustRightInd w:val="0"/>
              <w:spacing w:after="160" w:line="276" w:lineRule="auto"/>
              <w:jc w:val="both"/>
              <w:rPr>
                <w:rFonts w:ascii="Times New Roman" w:hAnsi="Times New Roman" w:cs="Times New Roman"/>
                <w:color w:val="000000"/>
              </w:rPr>
            </w:pPr>
          </w:p>
          <w:p w14:paraId="26508406">
            <w:pPr>
              <w:autoSpaceDE w:val="0"/>
              <w:autoSpaceDN w:val="0"/>
              <w:adjustRightInd w:val="0"/>
              <w:spacing w:after="160" w:line="276" w:lineRule="auto"/>
              <w:jc w:val="both"/>
              <w:rPr>
                <w:rFonts w:ascii="Times New Roman" w:hAnsi="Times New Roman" w:cs="Times New Roman"/>
                <w:color w:val="000000"/>
              </w:rPr>
            </w:pPr>
          </w:p>
        </w:tc>
        <w:tc>
          <w:tcPr>
            <w:tcW w:w="4537" w:type="dxa"/>
          </w:tcPr>
          <w:p w14:paraId="79E5ABC6">
            <w:pPr>
              <w:pStyle w:val="39"/>
              <w:numPr>
                <w:ilvl w:val="0"/>
                <w:numId w:val="18"/>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During interior demolition use debris-chutes above the first floor </w:t>
            </w:r>
          </w:p>
          <w:p w14:paraId="7AFBC3B6">
            <w:pPr>
              <w:pStyle w:val="39"/>
              <w:numPr>
                <w:ilvl w:val="0"/>
                <w:numId w:val="18"/>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Keep demolition debris in controlled area and spray with water mist to reduce debris dust </w:t>
            </w:r>
          </w:p>
          <w:p w14:paraId="279015D4">
            <w:pPr>
              <w:pStyle w:val="39"/>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Suppress dust during pneumatic drilling/wall destruction by ongoing water spraying and/or installing dust screen enclosures at site </w:t>
            </w:r>
          </w:p>
          <w:p w14:paraId="5DA23178">
            <w:pPr>
              <w:pStyle w:val="39"/>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Keep surrounding environment (sidewalks, roads) free of debris to minimize dust </w:t>
            </w:r>
          </w:p>
          <w:p w14:paraId="32509F10">
            <w:pPr>
              <w:pStyle w:val="39"/>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There will be no open burning of construction / waste material at the site </w:t>
            </w:r>
          </w:p>
          <w:p w14:paraId="59F2F3D1">
            <w:pPr>
              <w:pStyle w:val="39"/>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There will be no excessive idling of construction vehicles at sites</w:t>
            </w:r>
          </w:p>
          <w:p w14:paraId="58806BF2">
            <w:pPr>
              <w:pStyle w:val="39"/>
              <w:numPr>
                <w:ilvl w:val="0"/>
                <w:numId w:val="18"/>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The debris will be transported in a safety manner and in a covered transport</w:t>
            </w:r>
          </w:p>
        </w:tc>
        <w:tc>
          <w:tcPr>
            <w:tcW w:w="1985" w:type="dxa"/>
          </w:tcPr>
          <w:p w14:paraId="7534EFAA">
            <w:pPr>
              <w:pStyle w:val="39"/>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Contractor</w:t>
            </w:r>
          </w:p>
        </w:tc>
      </w:tr>
      <w:tr w14:paraId="57519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3" w:hRule="atLeast"/>
        </w:trPr>
        <w:tc>
          <w:tcPr>
            <w:tcW w:w="1733" w:type="dxa"/>
            <w:vMerge w:val="continue"/>
          </w:tcPr>
          <w:p w14:paraId="689DB8B6">
            <w:pPr>
              <w:pStyle w:val="39"/>
              <w:numPr>
                <w:ilvl w:val="0"/>
                <w:numId w:val="16"/>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5C416FB">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Noise and vibrations</w:t>
            </w:r>
          </w:p>
          <w:p w14:paraId="4EB24E22">
            <w:pPr>
              <w:autoSpaceDE w:val="0"/>
              <w:autoSpaceDN w:val="0"/>
              <w:adjustRightInd w:val="0"/>
              <w:spacing w:after="160" w:line="276" w:lineRule="auto"/>
              <w:jc w:val="both"/>
              <w:rPr>
                <w:rFonts w:ascii="Times New Roman" w:hAnsi="Times New Roman" w:cs="Times New Roman"/>
                <w:color w:val="000000"/>
              </w:rPr>
            </w:pPr>
          </w:p>
        </w:tc>
        <w:tc>
          <w:tcPr>
            <w:tcW w:w="4537" w:type="dxa"/>
          </w:tcPr>
          <w:p w14:paraId="296C5BF9">
            <w:pPr>
              <w:pStyle w:val="39"/>
              <w:numPr>
                <w:ilvl w:val="0"/>
                <w:numId w:val="19"/>
              </w:numPr>
              <w:autoSpaceDE w:val="0"/>
              <w:autoSpaceDN w:val="0"/>
              <w:adjustRightInd w:val="0"/>
              <w:spacing w:after="0" w:line="240" w:lineRule="auto"/>
              <w:rPr>
                <w:rFonts w:ascii="Times New Roman" w:hAnsi="Times New Roman" w:cs="Times New Roman"/>
                <w:sz w:val="20"/>
                <w:szCs w:val="20"/>
              </w:rPr>
            </w:pPr>
            <w:r>
              <w:rPr>
                <w:rFonts w:ascii="Times New Roman" w:hAnsi="Times New Roman" w:cs="Times New Roman"/>
                <w:color w:val="000000"/>
              </w:rPr>
              <w:t xml:space="preserve">Construction noise will be limited to restricted times agreed to in the permit. </w:t>
            </w:r>
            <w:r>
              <w:rPr>
                <w:rFonts w:ascii="Times New Roman" w:hAnsi="Times New Roman" w:cs="Times New Roman"/>
                <w:sz w:val="20"/>
                <w:szCs w:val="20"/>
              </w:rPr>
              <w:t>Night work will be avoided and if necessary relevant permits must be obtained and the public informed.</w:t>
            </w:r>
            <w:r>
              <w:rPr>
                <w:rFonts w:ascii="Times New Roman" w:hAnsi="Times New Roman" w:cs="Times New Roman"/>
                <w:color w:val="000000"/>
              </w:rPr>
              <w:t xml:space="preserve"> </w:t>
            </w:r>
          </w:p>
          <w:p w14:paraId="4BAA166E">
            <w:pPr>
              <w:pStyle w:val="39"/>
              <w:numPr>
                <w:ilvl w:val="0"/>
                <w:numId w:val="20"/>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During operations the engine covers of generators, air compressors and other powered mechanical equipment should be closed, and equipment placed as far away from residential areas as possible</w:t>
            </w:r>
          </w:p>
          <w:p w14:paraId="3D112F55">
            <w:pPr>
              <w:pStyle w:val="39"/>
              <w:numPr>
                <w:ilvl w:val="0"/>
                <w:numId w:val="20"/>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sz w:val="20"/>
                <w:szCs w:val="20"/>
              </w:rPr>
              <w:t>Providing personal protective equipment (PPE) to all workers</w:t>
            </w:r>
          </w:p>
        </w:tc>
        <w:tc>
          <w:tcPr>
            <w:tcW w:w="1985" w:type="dxa"/>
          </w:tcPr>
          <w:p w14:paraId="1B88BB15">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Contractor</w:t>
            </w:r>
          </w:p>
        </w:tc>
      </w:tr>
      <w:tr w14:paraId="2CEBE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1733" w:type="dxa"/>
            <w:vMerge w:val="continue"/>
          </w:tcPr>
          <w:p w14:paraId="70C6A216">
            <w:pPr>
              <w:pStyle w:val="39"/>
              <w:numPr>
                <w:ilvl w:val="0"/>
                <w:numId w:val="16"/>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F450F1F">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Water Quality</w:t>
            </w:r>
          </w:p>
        </w:tc>
        <w:tc>
          <w:tcPr>
            <w:tcW w:w="4537" w:type="dxa"/>
          </w:tcPr>
          <w:p w14:paraId="4E23DF16">
            <w:pPr>
              <w:pStyle w:val="39"/>
              <w:numPr>
                <w:ilvl w:val="0"/>
                <w:numId w:val="21"/>
              </w:numPr>
              <w:autoSpaceDE w:val="0"/>
              <w:autoSpaceDN w:val="0"/>
              <w:adjustRightInd w:val="0"/>
              <w:spacing w:after="0" w:line="276" w:lineRule="auto"/>
              <w:jc w:val="both"/>
              <w:rPr>
                <w:rFonts w:ascii="Times New Roman" w:hAnsi="Times New Roman" w:cs="Times New Roman"/>
              </w:rPr>
            </w:pPr>
            <w:r>
              <w:rPr>
                <w:rFonts w:ascii="Times New Roman" w:hAnsi="Times New Roman" w:cs="Times New Roman"/>
              </w:rPr>
              <w:t>The site will establish appropriate erosion and sediment control measures to prevent sediment from moving off site and causing excessive turbidity in nearby streams and rivers</w:t>
            </w:r>
          </w:p>
          <w:p w14:paraId="35FFEE44">
            <w:pPr>
              <w:numPr>
                <w:ilvl w:val="0"/>
                <w:numId w:val="21"/>
              </w:numPr>
              <w:spacing w:after="0" w:line="240" w:lineRule="auto"/>
              <w:rPr>
                <w:rFonts w:ascii="Times New Roman" w:hAnsi="Times New Roman" w:eastAsia="Times New Roman" w:cs="Times New Roman"/>
                <w:sz w:val="20"/>
                <w:szCs w:val="20"/>
              </w:rPr>
            </w:pPr>
            <w:r>
              <w:rPr>
                <w:rFonts w:ascii="Times New Roman" w:hAnsi="Times New Roman" w:cs="Times New Roman"/>
                <w:sz w:val="20"/>
                <w:szCs w:val="20"/>
              </w:rPr>
              <w:t>Stored materials and waste stored outside must be placed on concrete or asphalted surfaces with the</w:t>
            </w:r>
            <w:r>
              <w:rPr>
                <w:rFonts w:ascii="Times New Roman" w:hAnsi="Times New Roman" w:eastAsia="Times New Roman" w:cs="Times New Roman"/>
                <w:sz w:val="20"/>
                <w:szCs w:val="20"/>
              </w:rPr>
              <w:t xml:space="preserve"> </w:t>
            </w:r>
            <w:r>
              <w:rPr>
                <w:rFonts w:ascii="Times New Roman" w:hAnsi="Times New Roman" w:cs="Times New Roman"/>
                <w:sz w:val="20"/>
                <w:szCs w:val="20"/>
              </w:rPr>
              <w:t>collection system or fully covered and protected from the weather conditions.</w:t>
            </w:r>
          </w:p>
          <w:p w14:paraId="7F111A90">
            <w:pPr>
              <w:numPr>
                <w:ilvl w:val="0"/>
                <w:numId w:val="21"/>
              </w:numPr>
              <w:spacing w:after="0" w:line="24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lang w:eastAsia="ru-RU"/>
              </w:rPr>
              <w:t>Ensuring measures for prevention of spill of fuels and oils and other toxic or dangerous substances into the soil and sewerage systems.</w:t>
            </w:r>
          </w:p>
          <w:p w14:paraId="6761C5BE">
            <w:pPr>
              <w:numPr>
                <w:ilvl w:val="0"/>
                <w:numId w:val="21"/>
              </w:numPr>
              <w:spacing w:after="0" w:line="24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lang w:eastAsia="ru-RU"/>
              </w:rPr>
              <w:t>Establishing the ban on a wash of machines and mechanisms on the construction site</w:t>
            </w:r>
          </w:p>
        </w:tc>
        <w:tc>
          <w:tcPr>
            <w:tcW w:w="1985" w:type="dxa"/>
          </w:tcPr>
          <w:p w14:paraId="5E952F70">
            <w:pPr>
              <w:pStyle w:val="39"/>
              <w:autoSpaceDE w:val="0"/>
              <w:autoSpaceDN w:val="0"/>
              <w:adjustRightInd w:val="0"/>
              <w:spacing w:after="0" w:line="276" w:lineRule="auto"/>
              <w:jc w:val="both"/>
              <w:rPr>
                <w:rFonts w:ascii="Times New Roman" w:hAnsi="Times New Roman" w:cs="Times New Roman"/>
              </w:rPr>
            </w:pPr>
            <w:r>
              <w:rPr>
                <w:rFonts w:ascii="Times New Roman" w:hAnsi="Times New Roman" w:cs="Times New Roman"/>
                <w:color w:val="000000"/>
              </w:rPr>
              <w:t>Contractor</w:t>
            </w:r>
          </w:p>
        </w:tc>
      </w:tr>
      <w:tr w14:paraId="1D8A5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0" w:hRule="atLeast"/>
        </w:trPr>
        <w:tc>
          <w:tcPr>
            <w:tcW w:w="1733" w:type="dxa"/>
            <w:vMerge w:val="continue"/>
          </w:tcPr>
          <w:p w14:paraId="7209F603">
            <w:pPr>
              <w:pStyle w:val="39"/>
              <w:numPr>
                <w:ilvl w:val="0"/>
                <w:numId w:val="16"/>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32FCE13">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Waste management</w:t>
            </w:r>
          </w:p>
        </w:tc>
        <w:tc>
          <w:tcPr>
            <w:tcW w:w="4537" w:type="dxa"/>
          </w:tcPr>
          <w:p w14:paraId="5C01617A">
            <w:pPr>
              <w:pStyle w:val="39"/>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Waste collection and disposal pathways and sites will be identified for all major waste types expected from demolition and construction activities. </w:t>
            </w:r>
          </w:p>
          <w:p w14:paraId="3C057677">
            <w:pPr>
              <w:pStyle w:val="39"/>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Mineral construction and demolition wastes will be separated from general refuse, organic, liquid and chemical wastes by on-site sorting and stored in appropriate containers. </w:t>
            </w:r>
          </w:p>
          <w:p w14:paraId="389E885A">
            <w:pPr>
              <w:pStyle w:val="39"/>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Construction waste will be collected and disposed properly by licensed collectors </w:t>
            </w:r>
          </w:p>
          <w:p w14:paraId="34E1A55C">
            <w:pPr>
              <w:pStyle w:val="39"/>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The records of waste disposal will be maintained as proof for proper management as designed. </w:t>
            </w:r>
          </w:p>
          <w:p w14:paraId="4F918AE5">
            <w:pPr>
              <w:pStyle w:val="39"/>
              <w:numPr>
                <w:ilvl w:val="0"/>
                <w:numId w:val="22"/>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Whenever feasible the contractor will reuse and recycle appropriate and viable materials (except asbestos)</w:t>
            </w:r>
          </w:p>
        </w:tc>
        <w:tc>
          <w:tcPr>
            <w:tcW w:w="1985" w:type="dxa"/>
          </w:tcPr>
          <w:p w14:paraId="54441C83">
            <w:pPr>
              <w:pStyle w:val="39"/>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Contractor</w:t>
            </w:r>
          </w:p>
        </w:tc>
      </w:tr>
      <w:tr w14:paraId="64ED4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3B7370D6">
            <w:pPr>
              <w:autoSpaceDE w:val="0"/>
              <w:autoSpaceDN w:val="0"/>
              <w:adjustRightInd w:val="0"/>
              <w:spacing w:after="0" w:line="276" w:lineRule="auto"/>
              <w:jc w:val="both"/>
              <w:rPr>
                <w:rFonts w:ascii="Times New Roman" w:hAnsi="Times New Roman" w:cs="Times New Roman"/>
                <w:color w:val="000000"/>
              </w:rPr>
            </w:pPr>
          </w:p>
        </w:tc>
        <w:tc>
          <w:tcPr>
            <w:tcW w:w="1663" w:type="dxa"/>
          </w:tcPr>
          <w:p w14:paraId="56BCA0C0">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sz w:val="20"/>
                <w:szCs w:val="20"/>
              </w:rPr>
              <w:t>Vegetation (trees, bushes, grass)</w:t>
            </w:r>
          </w:p>
        </w:tc>
        <w:tc>
          <w:tcPr>
            <w:tcW w:w="4537" w:type="dxa"/>
          </w:tcPr>
          <w:p w14:paraId="3A849594">
            <w:pPr>
              <w:numPr>
                <w:ilvl w:val="0"/>
                <w:numId w:val="19"/>
              </w:numPr>
              <w:tabs>
                <w:tab w:val="left" w:pos="228"/>
                <w:tab w:val="left" w:pos="9270"/>
                <w:tab w:val="left" w:pos="9360"/>
                <w:tab w:val="left" w:pos="10170"/>
              </w:tabs>
              <w:spacing w:after="0" w:line="240" w:lineRule="auto"/>
              <w:rPr>
                <w:rFonts w:ascii="Times New Roman" w:hAnsi="Times New Roman" w:eastAsia="Times New Roman" w:cs="Times New Roman"/>
                <w:sz w:val="20"/>
                <w:szCs w:val="20"/>
                <w:lang w:eastAsia="ru-RU"/>
              </w:rPr>
            </w:pPr>
            <w:r>
              <w:rPr>
                <w:rFonts w:ascii="Times New Roman" w:hAnsi="Times New Roman" w:eastAsia="Times New Roman" w:cs="Times New Roman"/>
                <w:sz w:val="20"/>
                <w:szCs w:val="20"/>
                <w:lang w:eastAsia="ru-RU"/>
              </w:rPr>
              <w:t>Organizing construction works without removal and damage of local vegetation, whenever possible</w:t>
            </w:r>
          </w:p>
          <w:p w14:paraId="0B6B13B4">
            <w:pPr>
              <w:numPr>
                <w:ilvl w:val="0"/>
                <w:numId w:val="19"/>
              </w:numPr>
              <w:tabs>
                <w:tab w:val="left" w:pos="228"/>
                <w:tab w:val="left" w:pos="9270"/>
                <w:tab w:val="left" w:pos="9360"/>
                <w:tab w:val="left" w:pos="10170"/>
              </w:tabs>
              <w:spacing w:after="0" w:line="240" w:lineRule="auto"/>
              <w:rPr>
                <w:rFonts w:ascii="Times New Roman" w:hAnsi="Times New Roman" w:cs="Times New Roman"/>
                <w:b/>
                <w:bCs/>
                <w:sz w:val="20"/>
                <w:szCs w:val="20"/>
                <w:lang w:eastAsia="zh-CN"/>
              </w:rPr>
            </w:pPr>
            <w:r>
              <w:rPr>
                <w:rFonts w:ascii="Times New Roman" w:hAnsi="Times New Roman" w:eastAsia="Times New Roman" w:cs="Times New Roman"/>
                <w:sz w:val="20"/>
                <w:szCs w:val="20"/>
                <w:lang w:eastAsia="ru-RU"/>
              </w:rPr>
              <w:t>Establishing the ban on journey and the parking of transport out of the roads and platforms allocated for this purpose</w:t>
            </w:r>
          </w:p>
          <w:p w14:paraId="1D6FCBE1">
            <w:pPr>
              <w:numPr>
                <w:ilvl w:val="0"/>
                <w:numId w:val="19"/>
              </w:numPr>
              <w:tabs>
                <w:tab w:val="left" w:pos="228"/>
                <w:tab w:val="left" w:pos="9270"/>
                <w:tab w:val="left" w:pos="9360"/>
                <w:tab w:val="left" w:pos="10170"/>
              </w:tabs>
              <w:spacing w:after="0" w:line="240" w:lineRule="auto"/>
              <w:rPr>
                <w:rFonts w:ascii="Times New Roman" w:hAnsi="Times New Roman" w:cs="Times New Roman"/>
                <w:color w:val="000000"/>
              </w:rPr>
            </w:pPr>
            <w:r>
              <w:rPr>
                <w:rFonts w:ascii="Times New Roman" w:hAnsi="Times New Roman" w:eastAsia="Times New Roman" w:cs="Times New Roman"/>
                <w:sz w:val="20"/>
                <w:szCs w:val="20"/>
                <w:lang w:eastAsia="ru-RU"/>
              </w:rPr>
              <w:t>Protecting local vegetation which have remained on building site with wooden protections</w:t>
            </w:r>
          </w:p>
        </w:tc>
        <w:tc>
          <w:tcPr>
            <w:tcW w:w="1985" w:type="dxa"/>
          </w:tcPr>
          <w:p w14:paraId="2259EA35">
            <w:pPr>
              <w:tabs>
                <w:tab w:val="left" w:pos="9270"/>
                <w:tab w:val="left" w:pos="9360"/>
                <w:tab w:val="left" w:pos="10170"/>
              </w:tabs>
              <w:spacing w:after="0" w:line="240" w:lineRule="auto"/>
              <w:ind w:left="387" w:hanging="283"/>
              <w:rPr>
                <w:rFonts w:ascii="Times New Roman" w:hAnsi="Times New Roman" w:eastAsia="Times New Roman" w:cs="Times New Roman"/>
                <w:sz w:val="20"/>
                <w:szCs w:val="20"/>
                <w:lang w:eastAsia="ru-RU"/>
              </w:rPr>
            </w:pPr>
            <w:r>
              <w:rPr>
                <w:rFonts w:ascii="Times New Roman" w:hAnsi="Times New Roman" w:cs="Times New Roman"/>
                <w:color w:val="000000"/>
              </w:rPr>
              <w:t>Contractor</w:t>
            </w:r>
          </w:p>
        </w:tc>
      </w:tr>
      <w:tr w14:paraId="42979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5D64ABA9">
            <w:pPr>
              <w:autoSpaceDE w:val="0"/>
              <w:autoSpaceDN w:val="0"/>
              <w:adjustRightInd w:val="0"/>
              <w:spacing w:after="0" w:line="276" w:lineRule="auto"/>
              <w:jc w:val="both"/>
              <w:rPr>
                <w:rFonts w:ascii="Times New Roman" w:hAnsi="Times New Roman" w:cs="Times New Roman"/>
                <w:color w:val="000000"/>
              </w:rPr>
            </w:pPr>
          </w:p>
        </w:tc>
        <w:tc>
          <w:tcPr>
            <w:tcW w:w="1663" w:type="dxa"/>
          </w:tcPr>
          <w:p w14:paraId="1BEDCEF2">
            <w:pPr>
              <w:pStyle w:val="13"/>
              <w:ind w:left="116" w:hanging="116"/>
              <w:rPr>
                <w:sz w:val="20"/>
                <w:szCs w:val="20"/>
              </w:rPr>
            </w:pPr>
            <w:r>
              <w:rPr>
                <w:sz w:val="20"/>
                <w:szCs w:val="20"/>
              </w:rPr>
              <w:t>Trench excavation</w:t>
            </w:r>
          </w:p>
          <w:p w14:paraId="7A1A62DC">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sz w:val="20"/>
                <w:szCs w:val="20"/>
              </w:rPr>
              <w:t>Open trench</w:t>
            </w:r>
          </w:p>
        </w:tc>
        <w:tc>
          <w:tcPr>
            <w:tcW w:w="4537" w:type="dxa"/>
          </w:tcPr>
          <w:p w14:paraId="132A7DBC">
            <w:pPr>
              <w:pStyle w:val="39"/>
              <w:numPr>
                <w:ilvl w:val="0"/>
                <w:numId w:val="19"/>
              </w:numPr>
              <w:spacing w:after="0" w:line="257" w:lineRule="auto"/>
              <w:contextualSpacing w:val="0"/>
              <w:jc w:val="both"/>
              <w:rPr>
                <w:rFonts w:ascii="Times New Roman" w:hAnsi="Times New Roman" w:cs="Times New Roman"/>
                <w:sz w:val="20"/>
                <w:szCs w:val="20"/>
              </w:rPr>
            </w:pPr>
            <w:r>
              <w:rPr>
                <w:rFonts w:ascii="Times New Roman" w:hAnsi="Times New Roman" w:cs="Times New Roman"/>
                <w:sz w:val="20"/>
                <w:szCs w:val="20"/>
              </w:rPr>
              <w:t>Suitable safety measures must be taken for excavations and underground works: (a) using an appropriate support or embankment; (b) prevent hazards entailed in the fall of a person, materials or objects, or flooding; (c) provide sufficient ventilation at all workstations so as to ensure a breathable atmosphere which is not dangerous or harmful to health; other specific safety measures.</w:t>
            </w:r>
          </w:p>
          <w:p w14:paraId="60264746">
            <w:pPr>
              <w:pStyle w:val="39"/>
              <w:numPr>
                <w:ilvl w:val="0"/>
                <w:numId w:val="19"/>
              </w:numPr>
              <w:spacing w:after="0" w:line="257" w:lineRule="auto"/>
              <w:contextualSpacing w:val="0"/>
              <w:jc w:val="both"/>
              <w:rPr>
                <w:rFonts w:ascii="Times New Roman" w:hAnsi="Times New Roman" w:cs="Times New Roman"/>
                <w:sz w:val="20"/>
                <w:szCs w:val="20"/>
              </w:rPr>
            </w:pPr>
            <w:r>
              <w:rPr>
                <w:rFonts w:ascii="Times New Roman" w:hAnsi="Times New Roman" w:cs="Times New Roman"/>
                <w:sz w:val="20"/>
                <w:szCs w:val="20"/>
              </w:rPr>
              <w:t>Before excavation starts, measures must be taken to identify and reduce to a minimum any hazard due to underground cables and other distribution systems.</w:t>
            </w:r>
          </w:p>
          <w:p w14:paraId="37892830">
            <w:pPr>
              <w:pStyle w:val="39"/>
              <w:numPr>
                <w:ilvl w:val="0"/>
                <w:numId w:val="19"/>
              </w:numPr>
              <w:spacing w:after="0" w:line="257" w:lineRule="auto"/>
              <w:contextualSpacing w:val="0"/>
              <w:jc w:val="both"/>
              <w:rPr>
                <w:rFonts w:ascii="Times New Roman" w:hAnsi="Times New Roman" w:cs="Times New Roman"/>
                <w:sz w:val="20"/>
                <w:szCs w:val="20"/>
              </w:rPr>
            </w:pPr>
            <w:r>
              <w:rPr>
                <w:rFonts w:ascii="Times New Roman" w:hAnsi="Times New Roman" w:cs="Times New Roman"/>
                <w:sz w:val="20"/>
                <w:szCs w:val="20"/>
              </w:rPr>
              <w:t>Safe routes into and out of the excavation must be provided.</w:t>
            </w:r>
          </w:p>
          <w:p w14:paraId="614F8469">
            <w:pPr>
              <w:pStyle w:val="39"/>
              <w:numPr>
                <w:ilvl w:val="0"/>
                <w:numId w:val="19"/>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sz w:val="20"/>
                <w:szCs w:val="20"/>
              </w:rPr>
              <w:t>Piles of earth, materials and moving vehicles must be kept away from the excavation; appropriate barriers must be built if necessary.</w:t>
            </w:r>
          </w:p>
        </w:tc>
        <w:tc>
          <w:tcPr>
            <w:tcW w:w="1985" w:type="dxa"/>
          </w:tcPr>
          <w:p w14:paraId="74CAE98A">
            <w:pPr>
              <w:spacing w:after="0" w:line="257" w:lineRule="auto"/>
              <w:jc w:val="both"/>
              <w:rPr>
                <w:rFonts w:ascii="Times New Roman" w:hAnsi="Times New Roman" w:cs="Times New Roman"/>
                <w:sz w:val="20"/>
                <w:szCs w:val="20"/>
              </w:rPr>
            </w:pPr>
            <w:r>
              <w:rPr>
                <w:rFonts w:ascii="Times New Roman" w:hAnsi="Times New Roman" w:cs="Times New Roman"/>
                <w:color w:val="000000"/>
              </w:rPr>
              <w:t>Contractor</w:t>
            </w:r>
          </w:p>
        </w:tc>
      </w:tr>
      <w:tr w14:paraId="037A9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tcPr>
          <w:p w14:paraId="5E32B825">
            <w:pPr>
              <w:pStyle w:val="39"/>
              <w:numPr>
                <w:ilvl w:val="0"/>
                <w:numId w:val="16"/>
              </w:numPr>
              <w:autoSpaceDE w:val="0"/>
              <w:autoSpaceDN w:val="0"/>
              <w:adjustRightInd w:val="0"/>
              <w:spacing w:after="0" w:line="276" w:lineRule="auto"/>
              <w:ind w:left="360"/>
              <w:jc w:val="both"/>
              <w:rPr>
                <w:rFonts w:ascii="Times New Roman" w:hAnsi="Times New Roman" w:cs="Times New Roman"/>
                <w:color w:val="000000"/>
              </w:rPr>
            </w:pPr>
            <w:r>
              <w:rPr>
                <w:rFonts w:ascii="Times New Roman" w:hAnsi="Times New Roman" w:cs="Times New Roman"/>
                <w:color w:val="000000"/>
              </w:rPr>
              <w:t>Individual wastewater treatment system</w:t>
            </w:r>
          </w:p>
        </w:tc>
        <w:tc>
          <w:tcPr>
            <w:tcW w:w="1663" w:type="dxa"/>
          </w:tcPr>
          <w:p w14:paraId="5ACF4F90">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Water Quality</w:t>
            </w:r>
          </w:p>
        </w:tc>
        <w:tc>
          <w:tcPr>
            <w:tcW w:w="4537" w:type="dxa"/>
          </w:tcPr>
          <w:p w14:paraId="5E2C2545">
            <w:pPr>
              <w:pStyle w:val="39"/>
              <w:numPr>
                <w:ilvl w:val="0"/>
                <w:numId w:val="23"/>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The approach to handling sanitary wastes and wastewater from building sites (installation or reconstruction) must be approved by the local authorities </w:t>
            </w:r>
          </w:p>
          <w:p w14:paraId="5E9EBFBA">
            <w:pPr>
              <w:pStyle w:val="39"/>
              <w:numPr>
                <w:ilvl w:val="0"/>
                <w:numId w:val="23"/>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Before being discharged into receiving waters, effluents from individual wastewater systems must be treated in order to meet the minimal quality criteria on wastewater treatment </w:t>
            </w:r>
          </w:p>
          <w:p w14:paraId="0B2E1F7C">
            <w:pPr>
              <w:pStyle w:val="39"/>
              <w:numPr>
                <w:ilvl w:val="0"/>
                <w:numId w:val="23"/>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Monitoring of new wastewater systems (before/after) will be carried out </w:t>
            </w:r>
          </w:p>
        </w:tc>
        <w:tc>
          <w:tcPr>
            <w:tcW w:w="1985" w:type="dxa"/>
          </w:tcPr>
          <w:p w14:paraId="4CA87133">
            <w:pPr>
              <w:pStyle w:val="39"/>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MCS </w:t>
            </w:r>
          </w:p>
        </w:tc>
      </w:tr>
      <w:tr w14:paraId="00798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8" w:hRule="atLeast"/>
        </w:trPr>
        <w:tc>
          <w:tcPr>
            <w:tcW w:w="1733" w:type="dxa"/>
            <w:vMerge w:val="restart"/>
          </w:tcPr>
          <w:p w14:paraId="0A827ABE">
            <w:pPr>
              <w:pStyle w:val="39"/>
              <w:numPr>
                <w:ilvl w:val="0"/>
                <w:numId w:val="16"/>
              </w:numPr>
              <w:autoSpaceDE w:val="0"/>
              <w:autoSpaceDN w:val="0"/>
              <w:adjustRightInd w:val="0"/>
              <w:spacing w:after="0" w:line="276" w:lineRule="auto"/>
              <w:ind w:left="360"/>
              <w:jc w:val="both"/>
              <w:rPr>
                <w:rFonts w:ascii="Times New Roman" w:hAnsi="Times New Roman" w:cs="Times New Roman"/>
                <w:color w:val="000000"/>
              </w:rPr>
            </w:pPr>
            <w:r>
              <w:rPr>
                <w:rFonts w:ascii="Times New Roman" w:hAnsi="Times New Roman" w:cs="Times New Roman"/>
                <w:color w:val="000000"/>
              </w:rPr>
              <w:t>Toxic Materials</w:t>
            </w:r>
          </w:p>
        </w:tc>
        <w:tc>
          <w:tcPr>
            <w:tcW w:w="1663" w:type="dxa"/>
          </w:tcPr>
          <w:p w14:paraId="4AAB7210">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Asbestos management</w:t>
            </w:r>
          </w:p>
        </w:tc>
        <w:tc>
          <w:tcPr>
            <w:tcW w:w="4537" w:type="dxa"/>
          </w:tcPr>
          <w:p w14:paraId="2E439BA4">
            <w:pPr>
              <w:pStyle w:val="39"/>
              <w:numPr>
                <w:ilvl w:val="0"/>
                <w:numId w:val="24"/>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If asbestos is located on the project site, mark clearly as hazardous material </w:t>
            </w:r>
          </w:p>
          <w:p w14:paraId="72B6B585">
            <w:pPr>
              <w:pStyle w:val="39"/>
              <w:numPr>
                <w:ilvl w:val="0"/>
                <w:numId w:val="24"/>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When possible, the asbestos will be appropriately contained and sealed to minimize exposure </w:t>
            </w:r>
          </w:p>
          <w:p w14:paraId="665EB270">
            <w:pPr>
              <w:pStyle w:val="39"/>
              <w:numPr>
                <w:ilvl w:val="0"/>
                <w:numId w:val="24"/>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The asbestos prior to removal (if removal is necessary) will be treated with a wetting agent to minimize asbestos dust </w:t>
            </w:r>
          </w:p>
          <w:p w14:paraId="59F06E18">
            <w:pPr>
              <w:pStyle w:val="39"/>
              <w:numPr>
                <w:ilvl w:val="0"/>
                <w:numId w:val="24"/>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Asbestos will be handled and disposed by skilled &amp; experienced professionals </w:t>
            </w:r>
          </w:p>
          <w:p w14:paraId="77BC6EC6">
            <w:pPr>
              <w:pStyle w:val="39"/>
              <w:numPr>
                <w:ilvl w:val="0"/>
                <w:numId w:val="24"/>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If asbestos material is be stored temporarily, the wastes should be securely enclosed inside closed containments and marked appropriately </w:t>
            </w:r>
          </w:p>
          <w:p w14:paraId="12F29CE4">
            <w:pPr>
              <w:pStyle w:val="39"/>
              <w:numPr>
                <w:ilvl w:val="0"/>
                <w:numId w:val="24"/>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The removed asbestos will not be reused.</w:t>
            </w:r>
          </w:p>
        </w:tc>
        <w:tc>
          <w:tcPr>
            <w:tcW w:w="1985" w:type="dxa"/>
          </w:tcPr>
          <w:p w14:paraId="55B514EA">
            <w:pPr>
              <w:pStyle w:val="39"/>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Contractor / MCS</w:t>
            </w:r>
          </w:p>
        </w:tc>
      </w:tr>
      <w:tr w14:paraId="0197C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733" w:type="dxa"/>
            <w:vMerge w:val="continue"/>
          </w:tcPr>
          <w:p w14:paraId="5228DF18">
            <w:pPr>
              <w:pStyle w:val="39"/>
              <w:numPr>
                <w:ilvl w:val="0"/>
                <w:numId w:val="25"/>
              </w:numPr>
              <w:autoSpaceDE w:val="0"/>
              <w:autoSpaceDN w:val="0"/>
              <w:adjustRightInd w:val="0"/>
              <w:spacing w:after="160" w:line="276" w:lineRule="auto"/>
              <w:jc w:val="both"/>
              <w:rPr>
                <w:rFonts w:ascii="Times New Roman" w:hAnsi="Times New Roman" w:cs="Times New Roman"/>
                <w:color w:val="000000"/>
              </w:rPr>
            </w:pPr>
          </w:p>
        </w:tc>
        <w:tc>
          <w:tcPr>
            <w:tcW w:w="1663" w:type="dxa"/>
          </w:tcPr>
          <w:p w14:paraId="050371F7">
            <w:pPr>
              <w:autoSpaceDE w:val="0"/>
              <w:autoSpaceDN w:val="0"/>
              <w:adjustRightInd w:val="0"/>
              <w:spacing w:after="160" w:line="276" w:lineRule="auto"/>
              <w:rPr>
                <w:rFonts w:ascii="Times New Roman" w:hAnsi="Times New Roman" w:cs="Times New Roman"/>
                <w:color w:val="000000"/>
              </w:rPr>
            </w:pPr>
            <w:r>
              <w:rPr>
                <w:rFonts w:ascii="Times New Roman" w:hAnsi="Times New Roman" w:cs="Times New Roman"/>
                <w:color w:val="000000"/>
              </w:rPr>
              <w:t>Toxic / hazardous waste management</w:t>
            </w:r>
          </w:p>
        </w:tc>
        <w:tc>
          <w:tcPr>
            <w:tcW w:w="4537" w:type="dxa"/>
          </w:tcPr>
          <w:p w14:paraId="7037D24A">
            <w:pPr>
              <w:pStyle w:val="39"/>
              <w:numPr>
                <w:ilvl w:val="0"/>
                <w:numId w:val="26"/>
              </w:numPr>
              <w:autoSpaceDE w:val="0"/>
              <w:autoSpaceDN w:val="0"/>
              <w:adjustRightInd w:val="0"/>
              <w:spacing w:after="0" w:line="276" w:lineRule="auto"/>
              <w:ind w:left="342" w:hanging="342"/>
              <w:jc w:val="both"/>
              <w:rPr>
                <w:rFonts w:ascii="Times New Roman" w:hAnsi="Times New Roman" w:cs="Times New Roman"/>
                <w:color w:val="000000"/>
              </w:rPr>
            </w:pPr>
            <w:r>
              <w:rPr>
                <w:rFonts w:ascii="Times New Roman" w:hAnsi="Times New Roman" w:cs="Times New Roman"/>
                <w:color w:val="000000"/>
              </w:rPr>
              <w:t xml:space="preserve">(a) Temporarily storage on site of all hazardous or toxic substances will be in safe containers labeled with details of composition, properties and handling information </w:t>
            </w:r>
          </w:p>
          <w:p w14:paraId="288B5E9D">
            <w:pPr>
              <w:pStyle w:val="39"/>
              <w:numPr>
                <w:ilvl w:val="0"/>
                <w:numId w:val="26"/>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(b) The containers of hazardous substances should be placed in a leak-proof container to prevent spillage and leaching </w:t>
            </w:r>
          </w:p>
          <w:p w14:paraId="05B97F16">
            <w:pPr>
              <w:pStyle w:val="39"/>
              <w:numPr>
                <w:ilvl w:val="0"/>
                <w:numId w:val="26"/>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 xml:space="preserve">(c) The wastes are transported by specially licensed carriers and disposed in a licensed facility. </w:t>
            </w:r>
          </w:p>
          <w:p w14:paraId="384D1E7F">
            <w:pPr>
              <w:pStyle w:val="39"/>
              <w:numPr>
                <w:ilvl w:val="0"/>
                <w:numId w:val="26"/>
              </w:numPr>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(d) Paints with toxic ingredients or solvents or lead-based paints will not be used</w:t>
            </w:r>
          </w:p>
        </w:tc>
        <w:tc>
          <w:tcPr>
            <w:tcW w:w="1985" w:type="dxa"/>
          </w:tcPr>
          <w:p w14:paraId="03471E36">
            <w:pPr>
              <w:pStyle w:val="39"/>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Contractor</w:t>
            </w:r>
          </w:p>
        </w:tc>
      </w:tr>
      <w:tr w14:paraId="5D03C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restart"/>
          </w:tcPr>
          <w:p w14:paraId="37CB48E3">
            <w:pPr>
              <w:pStyle w:val="39"/>
              <w:numPr>
                <w:ilvl w:val="0"/>
                <w:numId w:val="16"/>
              </w:numPr>
              <w:autoSpaceDE w:val="0"/>
              <w:autoSpaceDN w:val="0"/>
              <w:adjustRightInd w:val="0"/>
              <w:spacing w:after="0" w:line="276" w:lineRule="auto"/>
              <w:ind w:left="360"/>
              <w:jc w:val="both"/>
              <w:rPr>
                <w:rFonts w:ascii="Times New Roman" w:hAnsi="Times New Roman" w:cs="Times New Roman"/>
                <w:color w:val="000000"/>
              </w:rPr>
            </w:pPr>
            <w:r>
              <w:rPr>
                <w:rFonts w:ascii="Times New Roman" w:hAnsi="Times New Roman" w:cs="Times New Roman"/>
                <w:color w:val="000000"/>
              </w:rPr>
              <w:t>Traffic and Pedestrian Safety</w:t>
            </w:r>
          </w:p>
        </w:tc>
        <w:tc>
          <w:tcPr>
            <w:tcW w:w="1663" w:type="dxa"/>
          </w:tcPr>
          <w:p w14:paraId="0CB80D34">
            <w:pPr>
              <w:autoSpaceDE w:val="0"/>
              <w:autoSpaceDN w:val="0"/>
              <w:adjustRightInd w:val="0"/>
              <w:spacing w:after="160" w:line="276" w:lineRule="auto"/>
              <w:jc w:val="both"/>
              <w:rPr>
                <w:rFonts w:ascii="Times New Roman" w:hAnsi="Times New Roman" w:cs="Times New Roman"/>
                <w:color w:val="000000"/>
              </w:rPr>
            </w:pPr>
            <w:r>
              <w:rPr>
                <w:rFonts w:ascii="Times New Roman" w:hAnsi="Times New Roman" w:cs="Times New Roman"/>
                <w:color w:val="000000"/>
              </w:rPr>
              <w:t>Direct or indirect hazards to public traffic and pedestrians by construction activities</w:t>
            </w:r>
          </w:p>
        </w:tc>
        <w:tc>
          <w:tcPr>
            <w:tcW w:w="4537" w:type="dxa"/>
          </w:tcPr>
          <w:p w14:paraId="0BDF2F94">
            <w:pPr>
              <w:pStyle w:val="39"/>
              <w:numPr>
                <w:ilvl w:val="0"/>
                <w:numId w:val="27"/>
              </w:numPr>
              <w:autoSpaceDE w:val="0"/>
              <w:autoSpaceDN w:val="0"/>
              <w:adjustRightInd w:val="0"/>
              <w:spacing w:after="160" w:line="276" w:lineRule="auto"/>
              <w:ind w:left="342"/>
              <w:jc w:val="both"/>
              <w:rPr>
                <w:rFonts w:ascii="Times New Roman" w:hAnsi="Times New Roman" w:cs="Times New Roman"/>
                <w:color w:val="000000"/>
              </w:rPr>
            </w:pPr>
            <w:r>
              <w:rPr>
                <w:rFonts w:ascii="Times New Roman" w:hAnsi="Times New Roman" w:cs="Times New Roman"/>
                <w:color w:val="000000"/>
              </w:rPr>
              <w:t xml:space="preserve">In compliance with national regulations the contractor will ensure that the construction site is properly secured and construction related traffic regulated. This includes but is not limited to </w:t>
            </w:r>
          </w:p>
          <w:p w14:paraId="0C30F046">
            <w:pPr>
              <w:pStyle w:val="39"/>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rPr>
                <w:rFonts w:ascii="Times New Roman" w:hAnsi="Times New Roman" w:cs="Times New Roman"/>
                <w:color w:val="000000"/>
              </w:rPr>
              <w:t xml:space="preserve"> Signposting, warning signs, barriers and traffic diversions: site will be clearly visible and the public warned of all potential hazards </w:t>
            </w:r>
          </w:p>
          <w:p w14:paraId="4C7E670D">
            <w:pPr>
              <w:pStyle w:val="39"/>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rPr>
                <w:rFonts w:ascii="Times New Roman" w:hAnsi="Times New Roman" w:cs="Times New Roman"/>
                <w:color w:val="000000"/>
              </w:rPr>
              <w:t xml:space="preserve">Traffic management system and staff training, especially for site access and near-site heavy traffic. Provision of safe passages and crossings for pedestrians where construction traffic interferes. </w:t>
            </w:r>
          </w:p>
          <w:p w14:paraId="28442B5A">
            <w:pPr>
              <w:pStyle w:val="39"/>
              <w:numPr>
                <w:ilvl w:val="0"/>
                <w:numId w:val="28"/>
              </w:numPr>
              <w:autoSpaceDE w:val="0"/>
              <w:autoSpaceDN w:val="0"/>
              <w:adjustRightInd w:val="0"/>
              <w:spacing w:after="0" w:line="276" w:lineRule="auto"/>
              <w:ind w:left="612" w:hanging="180"/>
              <w:jc w:val="both"/>
              <w:rPr>
                <w:rFonts w:ascii="Times New Roman" w:hAnsi="Times New Roman" w:cs="Times New Roman"/>
                <w:color w:val="000000"/>
              </w:rPr>
            </w:pPr>
            <w:r>
              <w:rPr>
                <w:rFonts w:ascii="Times New Roman" w:hAnsi="Times New Roman" w:cs="Times New Roman"/>
                <w:color w:val="000000"/>
              </w:rPr>
              <w:t xml:space="preserve"> Adjustment of working hours to local traffic patterns, e.g. avoiding major transport activities during rush hours or times of livestock movement </w:t>
            </w:r>
          </w:p>
          <w:p w14:paraId="5A3FD610">
            <w:pPr>
              <w:pStyle w:val="39"/>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rPr>
                <w:rFonts w:ascii="Times New Roman" w:hAnsi="Times New Roman" w:cs="Times New Roman"/>
                <w:color w:val="000000"/>
              </w:rPr>
              <w:t xml:space="preserve">Active traffic management by trained and visible staff at the site, if required for safe and convenient passage for the public. </w:t>
            </w:r>
          </w:p>
          <w:p w14:paraId="0CFD3EA4">
            <w:pPr>
              <w:pStyle w:val="39"/>
              <w:numPr>
                <w:ilvl w:val="0"/>
                <w:numId w:val="28"/>
              </w:numPr>
              <w:autoSpaceDE w:val="0"/>
              <w:autoSpaceDN w:val="0"/>
              <w:adjustRightInd w:val="0"/>
              <w:spacing w:after="160" w:line="276" w:lineRule="auto"/>
              <w:ind w:left="612" w:hanging="180"/>
              <w:jc w:val="both"/>
              <w:rPr>
                <w:rFonts w:ascii="Times New Roman" w:hAnsi="Times New Roman" w:cs="Times New Roman"/>
                <w:color w:val="000000"/>
              </w:rPr>
            </w:pPr>
            <w:r>
              <w:rPr>
                <w:rFonts w:ascii="Times New Roman" w:hAnsi="Times New Roman" w:cs="Times New Roman"/>
                <w:color w:val="000000"/>
              </w:rPr>
              <w:t>Ensuring safe and continuous access to office facilities, shops and residences during renovation activities,</w:t>
            </w:r>
            <w:r>
              <w:rPr>
                <w:rFonts w:ascii="Times New Roman" w:hAnsi="Times New Roman" w:cs="Times New Roman"/>
              </w:rPr>
              <w:t xml:space="preserve"> </w:t>
            </w:r>
            <w:r>
              <w:rPr>
                <w:rFonts w:ascii="Times New Roman" w:hAnsi="Times New Roman" w:cs="Times New Roman"/>
                <w:color w:val="000000"/>
              </w:rPr>
              <w:t>if the buildings stay open for the public.</w:t>
            </w:r>
          </w:p>
          <w:p w14:paraId="5E0410C2">
            <w:pPr>
              <w:autoSpaceDE w:val="0"/>
              <w:autoSpaceDN w:val="0"/>
              <w:adjustRightInd w:val="0"/>
              <w:spacing w:after="0" w:line="276" w:lineRule="auto"/>
              <w:ind w:left="432"/>
              <w:jc w:val="both"/>
              <w:rPr>
                <w:rFonts w:ascii="Times New Roman" w:hAnsi="Times New Roman" w:cs="Times New Roman"/>
                <w:color w:val="000000"/>
              </w:rPr>
            </w:pPr>
          </w:p>
        </w:tc>
        <w:tc>
          <w:tcPr>
            <w:tcW w:w="1985" w:type="dxa"/>
          </w:tcPr>
          <w:p w14:paraId="7B0AD66E">
            <w:pPr>
              <w:pStyle w:val="39"/>
              <w:autoSpaceDE w:val="0"/>
              <w:autoSpaceDN w:val="0"/>
              <w:adjustRightInd w:val="0"/>
              <w:spacing w:after="0" w:line="276" w:lineRule="auto"/>
              <w:ind w:left="342"/>
              <w:jc w:val="both"/>
              <w:rPr>
                <w:rFonts w:ascii="Times New Roman" w:hAnsi="Times New Roman" w:cs="Times New Roman"/>
                <w:color w:val="000000"/>
              </w:rPr>
            </w:pPr>
            <w:r>
              <w:rPr>
                <w:rFonts w:ascii="Times New Roman" w:hAnsi="Times New Roman" w:cs="Times New Roman"/>
                <w:color w:val="000000"/>
              </w:rPr>
              <w:t>Contractor</w:t>
            </w:r>
          </w:p>
        </w:tc>
      </w:tr>
      <w:tr w14:paraId="1CB5F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69B75AA3">
            <w:pPr>
              <w:pStyle w:val="39"/>
              <w:autoSpaceDE w:val="0"/>
              <w:autoSpaceDN w:val="0"/>
              <w:adjustRightInd w:val="0"/>
              <w:spacing w:after="0" w:line="276" w:lineRule="auto"/>
              <w:ind w:left="360"/>
              <w:jc w:val="both"/>
              <w:rPr>
                <w:rFonts w:ascii="Times New Roman" w:hAnsi="Times New Roman" w:cs="Times New Roman"/>
                <w:color w:val="000000"/>
              </w:rPr>
            </w:pPr>
          </w:p>
        </w:tc>
        <w:tc>
          <w:tcPr>
            <w:tcW w:w="1663" w:type="dxa"/>
          </w:tcPr>
          <w:p w14:paraId="3A1D0D6F">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Potential indirect social risks (Construction and Early Operation)</w:t>
            </w:r>
          </w:p>
        </w:tc>
        <w:tc>
          <w:tcPr>
            <w:tcW w:w="4537" w:type="dxa"/>
          </w:tcPr>
          <w:p w14:paraId="6632FBD6">
            <w:pPr>
              <w:pStyle w:val="39"/>
              <w:numPr>
                <w:ilvl w:val="1"/>
                <w:numId w:val="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rPr>
              <w:t>Mitigation Measures for Pre-Bypass Period (Construction and Early Operation)</w:t>
            </w:r>
          </w:p>
          <w:p w14:paraId="23AABEE4">
            <w:pPr>
              <w:pStyle w:val="39"/>
              <w:numPr>
                <w:ilvl w:val="1"/>
                <w:numId w:val="29"/>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Install temporary signage, speed bumps, and barriers on village roads to deter unauthorized truck entry, with speed limits reduced to 30-40 km/h in residential areas.</w:t>
            </w:r>
          </w:p>
          <w:p w14:paraId="6869F2B0">
            <w:pPr>
              <w:pStyle w:val="39"/>
              <w:numPr>
                <w:ilvl w:val="1"/>
                <w:numId w:val="29"/>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Coordinate with local police for increased patrols and enforcement of truck restrictions (e.g., fines for non-local trucks using village roads).</w:t>
            </w:r>
          </w:p>
          <w:p w14:paraId="43903D2D">
            <w:pPr>
              <w:pStyle w:val="39"/>
              <w:numPr>
                <w:ilvl w:val="1"/>
                <w:numId w:val="29"/>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Monitor truck volumes daily during construction and early operation, using electronic queuing systems to stage trucks outside the village and prevent overflow parking.</w:t>
            </w:r>
          </w:p>
          <w:p w14:paraId="07993C96">
            <w:pPr>
              <w:pStyle w:val="39"/>
              <w:numPr>
                <w:ilvl w:val="1"/>
                <w:numId w:val="29"/>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Conduct community awareness campaigns (e.g., via SIMC meetings) to inform residents of traffic changes and provide real-time updates on construction progress.</w:t>
            </w:r>
          </w:p>
        </w:tc>
        <w:tc>
          <w:tcPr>
            <w:tcW w:w="1985" w:type="dxa"/>
          </w:tcPr>
          <w:p w14:paraId="1DE981A3">
            <w:pPr>
              <w:pStyle w:val="39"/>
              <w:autoSpaceDE w:val="0"/>
              <w:autoSpaceDN w:val="0"/>
              <w:adjustRightInd w:val="0"/>
              <w:spacing w:after="0" w:line="276" w:lineRule="auto"/>
              <w:ind w:left="360"/>
              <w:jc w:val="both"/>
              <w:rPr>
                <w:rFonts w:ascii="Times New Roman" w:hAnsi="Times New Roman" w:cs="Times New Roman"/>
              </w:rPr>
            </w:pPr>
            <w:r>
              <w:rPr>
                <w:rFonts w:ascii="Times New Roman" w:hAnsi="Times New Roman" w:cs="Times New Roman"/>
              </w:rPr>
              <w:t xml:space="preserve">- Contractor </w:t>
            </w:r>
          </w:p>
          <w:p w14:paraId="3B64D9BA">
            <w:pPr>
              <w:pStyle w:val="39"/>
              <w:autoSpaceDE w:val="0"/>
              <w:autoSpaceDN w:val="0"/>
              <w:adjustRightInd w:val="0"/>
              <w:spacing w:after="0" w:line="276" w:lineRule="auto"/>
              <w:ind w:left="360"/>
              <w:jc w:val="both"/>
              <w:rPr>
                <w:rFonts w:ascii="Times New Roman" w:hAnsi="Times New Roman" w:cs="Times New Roman"/>
              </w:rPr>
            </w:pPr>
            <w:r>
              <w:rPr>
                <w:rFonts w:ascii="Times New Roman" w:hAnsi="Times New Roman" w:cs="Times New Roman"/>
              </w:rPr>
              <w:t>- MCS</w:t>
            </w:r>
          </w:p>
          <w:p w14:paraId="1710B8B4">
            <w:pPr>
              <w:pStyle w:val="39"/>
              <w:autoSpaceDE w:val="0"/>
              <w:autoSpaceDN w:val="0"/>
              <w:adjustRightInd w:val="0"/>
              <w:spacing w:after="0" w:line="276" w:lineRule="auto"/>
              <w:ind w:left="360"/>
              <w:jc w:val="both"/>
              <w:rPr>
                <w:rFonts w:ascii="Times New Roman" w:hAnsi="Times New Roman" w:cs="Times New Roman"/>
              </w:rPr>
            </w:pPr>
            <w:r>
              <w:rPr>
                <w:rFonts w:ascii="Times New Roman" w:hAnsi="Times New Roman" w:cs="Times New Roman"/>
              </w:rPr>
              <w:t>- Traffic police</w:t>
            </w:r>
          </w:p>
        </w:tc>
      </w:tr>
      <w:tr w14:paraId="7E2CE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restart"/>
            <w:vAlign w:val="center"/>
          </w:tcPr>
          <w:p w14:paraId="5F6C1B6B">
            <w:pPr>
              <w:pStyle w:val="39"/>
              <w:numPr>
                <w:ilvl w:val="0"/>
                <w:numId w:val="16"/>
              </w:num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Social Safety / Social Impacts</w:t>
            </w:r>
          </w:p>
          <w:p w14:paraId="4FECA588">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04BE045F">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Community engagement.</w:t>
            </w:r>
          </w:p>
          <w:p w14:paraId="4497346A">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Risks of lack of information or misinformation</w:t>
            </w:r>
          </w:p>
        </w:tc>
        <w:tc>
          <w:tcPr>
            <w:tcW w:w="4537" w:type="dxa"/>
          </w:tcPr>
          <w:p w14:paraId="6C00CFBD">
            <w:pPr>
              <w:pStyle w:val="39"/>
              <w:numPr>
                <w:ilvl w:val="1"/>
                <w:numId w:val="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Stakeholder engagement activities, including engaging of vulnerable groups; plan of these activities.</w:t>
            </w:r>
          </w:p>
          <w:p w14:paraId="0F8C8607">
            <w:pPr>
              <w:pStyle w:val="39"/>
              <w:numPr>
                <w:ilvl w:val="1"/>
                <w:numId w:val="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Regular sharing project updates; engage local leaders and vulnerable groups.</w:t>
            </w:r>
          </w:p>
          <w:p w14:paraId="77C29075">
            <w:pPr>
              <w:pStyle w:val="39"/>
              <w:numPr>
                <w:ilvl w:val="1"/>
                <w:numId w:val="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Documenting feedbacks and taking stakeholders comments into account.</w:t>
            </w:r>
          </w:p>
        </w:tc>
        <w:tc>
          <w:tcPr>
            <w:tcW w:w="1985" w:type="dxa"/>
          </w:tcPr>
          <w:p w14:paraId="1C08FCEE">
            <w:pPr>
              <w:pStyle w:val="39"/>
              <w:autoSpaceDE w:val="0"/>
              <w:autoSpaceDN w:val="0"/>
              <w:adjustRightInd w:val="0"/>
              <w:spacing w:after="0" w:line="276" w:lineRule="auto"/>
              <w:ind w:left="360"/>
              <w:jc w:val="both"/>
              <w:rPr>
                <w:rFonts w:ascii="Times New Roman" w:hAnsi="Times New Roman" w:cs="Times New Roman"/>
                <w:color w:val="000000"/>
              </w:rPr>
            </w:pPr>
            <w:r>
              <w:rPr>
                <w:rFonts w:ascii="Times New Roman" w:hAnsi="Times New Roman" w:cs="Times New Roman"/>
                <w:color w:val="000000"/>
              </w:rPr>
              <w:t>MCS</w:t>
            </w:r>
          </w:p>
        </w:tc>
      </w:tr>
      <w:tr w14:paraId="40E9F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68CDB4A0">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0ACBF95A">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 xml:space="preserve">Grievance redress process. </w:t>
            </w:r>
          </w:p>
          <w:p w14:paraId="36975BDB">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Risks of unaddressed concerns</w:t>
            </w:r>
          </w:p>
        </w:tc>
        <w:tc>
          <w:tcPr>
            <w:tcW w:w="4537" w:type="dxa"/>
          </w:tcPr>
          <w:p w14:paraId="36B07ECB">
            <w:pPr>
              <w:pStyle w:val="39"/>
              <w:numPr>
                <w:ilvl w:val="0"/>
                <w:numId w:val="30"/>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Confidential grievance redress mechanism.</w:t>
            </w:r>
          </w:p>
          <w:p w14:paraId="67ABB274">
            <w:pPr>
              <w:pStyle w:val="39"/>
              <w:numPr>
                <w:ilvl w:val="0"/>
                <w:numId w:val="30"/>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Timely resolution of grievances, their proper documentation, and regular communication on outcomes. Ensure that anonymous complaints are handled with the same diligence and responsiveness.</w:t>
            </w:r>
          </w:p>
        </w:tc>
        <w:tc>
          <w:tcPr>
            <w:tcW w:w="1985" w:type="dxa"/>
          </w:tcPr>
          <w:p w14:paraId="20BD803C">
            <w:pPr>
              <w:pStyle w:val="39"/>
              <w:numPr>
                <w:ilvl w:val="0"/>
                <w:numId w:val="31"/>
              </w:numPr>
              <w:autoSpaceDE w:val="0"/>
              <w:autoSpaceDN w:val="0"/>
              <w:adjustRightInd w:val="0"/>
              <w:spacing w:after="0" w:line="276" w:lineRule="auto"/>
              <w:ind w:left="529"/>
              <w:jc w:val="both"/>
              <w:rPr>
                <w:rFonts w:ascii="Times New Roman" w:hAnsi="Times New Roman" w:cs="Times New Roman"/>
                <w:color w:val="000000"/>
              </w:rPr>
            </w:pPr>
            <w:r>
              <w:rPr>
                <w:rFonts w:ascii="Times New Roman" w:hAnsi="Times New Roman" w:cs="Times New Roman"/>
                <w:color w:val="000000"/>
              </w:rPr>
              <w:t>Contractor</w:t>
            </w:r>
          </w:p>
          <w:p w14:paraId="544E1AFA">
            <w:pPr>
              <w:pStyle w:val="39"/>
              <w:numPr>
                <w:ilvl w:val="0"/>
                <w:numId w:val="31"/>
              </w:numPr>
              <w:autoSpaceDE w:val="0"/>
              <w:autoSpaceDN w:val="0"/>
              <w:adjustRightInd w:val="0"/>
              <w:spacing w:after="0" w:line="276" w:lineRule="auto"/>
              <w:ind w:left="529"/>
              <w:jc w:val="both"/>
              <w:rPr>
                <w:rFonts w:ascii="Times New Roman" w:hAnsi="Times New Roman" w:cs="Times New Roman"/>
                <w:color w:val="000000"/>
              </w:rPr>
            </w:pPr>
            <w:r>
              <w:rPr>
                <w:rFonts w:ascii="Times New Roman" w:hAnsi="Times New Roman" w:cs="Times New Roman"/>
                <w:color w:val="000000"/>
              </w:rPr>
              <w:t>MCS</w:t>
            </w:r>
          </w:p>
        </w:tc>
      </w:tr>
      <w:tr w14:paraId="67823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0D4F1454">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6F29C168">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Employment of local labor.</w:t>
            </w:r>
          </w:p>
          <w:p w14:paraId="2DCB8454">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Risks of unequal opportunities</w:t>
            </w:r>
          </w:p>
        </w:tc>
        <w:tc>
          <w:tcPr>
            <w:tcW w:w="4537" w:type="dxa"/>
          </w:tcPr>
          <w:p w14:paraId="5F28FD15">
            <w:pPr>
              <w:pStyle w:val="39"/>
              <w:numPr>
                <w:ilvl w:val="0"/>
                <w:numId w:val="32"/>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Promotion of inclusive hiring practices.</w:t>
            </w:r>
          </w:p>
          <w:p w14:paraId="1590D5C9">
            <w:pPr>
              <w:pStyle w:val="39"/>
              <w:numPr>
                <w:ilvl w:val="0"/>
                <w:numId w:val="32"/>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Prioritizing local workers where feasible.</w:t>
            </w:r>
          </w:p>
          <w:p w14:paraId="73A04BA0">
            <w:pPr>
              <w:pStyle w:val="39"/>
              <w:numPr>
                <w:ilvl w:val="0"/>
                <w:numId w:val="32"/>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Ensuring transparent job criteria and equal pay for equal work.</w:t>
            </w:r>
          </w:p>
        </w:tc>
        <w:tc>
          <w:tcPr>
            <w:tcW w:w="1985" w:type="dxa"/>
          </w:tcPr>
          <w:p w14:paraId="36920AE4">
            <w:pPr>
              <w:pStyle w:val="39"/>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Contractor</w:t>
            </w:r>
          </w:p>
        </w:tc>
      </w:tr>
      <w:tr w14:paraId="6F0D0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38081343">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4ED15069">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Interaction between workers and community members.</w:t>
            </w:r>
          </w:p>
          <w:p w14:paraId="28D7BCDF">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Risks of SEA/SH incidents</w:t>
            </w:r>
          </w:p>
        </w:tc>
        <w:tc>
          <w:tcPr>
            <w:tcW w:w="4537" w:type="dxa"/>
          </w:tcPr>
          <w:p w14:paraId="19CD8D0D">
            <w:pPr>
              <w:pStyle w:val="39"/>
              <w:numPr>
                <w:ilvl w:val="0"/>
                <w:numId w:val="33"/>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Conduction of SEA/SH prevention training.</w:t>
            </w:r>
          </w:p>
          <w:p w14:paraId="73C5AB4C">
            <w:pPr>
              <w:pStyle w:val="39"/>
              <w:numPr>
                <w:ilvl w:val="0"/>
                <w:numId w:val="33"/>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Enforcing of Code of Conduct.</w:t>
            </w:r>
          </w:p>
          <w:p w14:paraId="1CF7F2D2">
            <w:pPr>
              <w:pStyle w:val="39"/>
              <w:numPr>
                <w:ilvl w:val="0"/>
                <w:numId w:val="33"/>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Monitor behavior of workers through site supervision and reporting mechanisms.</w:t>
            </w:r>
          </w:p>
          <w:p w14:paraId="77756E15">
            <w:pPr>
              <w:autoSpaceDE w:val="0"/>
              <w:autoSpaceDN w:val="0"/>
              <w:adjustRightInd w:val="0"/>
              <w:spacing w:after="0" w:line="276" w:lineRule="auto"/>
              <w:ind w:left="360"/>
              <w:jc w:val="both"/>
              <w:rPr>
                <w:rFonts w:ascii="Times New Roman" w:hAnsi="Times New Roman" w:cs="Times New Roman"/>
                <w:color w:val="000000"/>
              </w:rPr>
            </w:pPr>
          </w:p>
        </w:tc>
        <w:tc>
          <w:tcPr>
            <w:tcW w:w="1985" w:type="dxa"/>
          </w:tcPr>
          <w:p w14:paraId="03AF92F1">
            <w:pPr>
              <w:pStyle w:val="39"/>
              <w:numPr>
                <w:ilvl w:val="0"/>
                <w:numId w:val="31"/>
              </w:numPr>
              <w:autoSpaceDE w:val="0"/>
              <w:autoSpaceDN w:val="0"/>
              <w:adjustRightInd w:val="0"/>
              <w:spacing w:after="0" w:line="276" w:lineRule="auto"/>
              <w:ind w:left="529"/>
              <w:jc w:val="both"/>
              <w:rPr>
                <w:rFonts w:ascii="Times New Roman" w:hAnsi="Times New Roman" w:cs="Times New Roman"/>
                <w:color w:val="000000"/>
              </w:rPr>
            </w:pPr>
            <w:r>
              <w:rPr>
                <w:rFonts w:ascii="Times New Roman" w:hAnsi="Times New Roman" w:cs="Times New Roman"/>
                <w:color w:val="000000"/>
              </w:rPr>
              <w:t>Contractor</w:t>
            </w:r>
          </w:p>
          <w:p w14:paraId="1731F089">
            <w:pPr>
              <w:pStyle w:val="39"/>
              <w:numPr>
                <w:ilvl w:val="0"/>
                <w:numId w:val="31"/>
              </w:numPr>
              <w:autoSpaceDE w:val="0"/>
              <w:autoSpaceDN w:val="0"/>
              <w:adjustRightInd w:val="0"/>
              <w:spacing w:after="0" w:line="276" w:lineRule="auto"/>
              <w:ind w:left="529"/>
              <w:jc w:val="both"/>
              <w:rPr>
                <w:rFonts w:ascii="Times New Roman" w:hAnsi="Times New Roman" w:cs="Times New Roman"/>
                <w:color w:val="000000"/>
              </w:rPr>
            </w:pPr>
            <w:r>
              <w:rPr>
                <w:rFonts w:ascii="Times New Roman" w:hAnsi="Times New Roman" w:cs="Times New Roman"/>
                <w:color w:val="000000"/>
              </w:rPr>
              <w:t>MCS</w:t>
            </w:r>
          </w:p>
        </w:tc>
      </w:tr>
      <w:tr w14:paraId="20C10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7F206193">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215C0140">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Worker recruitment and labor influx.</w:t>
            </w:r>
          </w:p>
          <w:p w14:paraId="184C3060">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Risks of trafficking in persons (TIP), forced labor risks</w:t>
            </w:r>
          </w:p>
        </w:tc>
        <w:tc>
          <w:tcPr>
            <w:tcW w:w="4537" w:type="dxa"/>
          </w:tcPr>
          <w:p w14:paraId="6B45B6F1">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Screening of labor suppliers for ethical practices; </w:t>
            </w:r>
          </w:p>
          <w:p w14:paraId="32AE912F">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Providing workers with contracts in a language (or equal translation) they understand; </w:t>
            </w:r>
          </w:p>
          <w:p w14:paraId="3DE8A2F9">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Ensuring workers have freedom of movement and access to grievance redress mechanisms.</w:t>
            </w:r>
          </w:p>
        </w:tc>
        <w:tc>
          <w:tcPr>
            <w:tcW w:w="1985" w:type="dxa"/>
          </w:tcPr>
          <w:p w14:paraId="347573AC">
            <w:pPr>
              <w:pStyle w:val="39"/>
              <w:numPr>
                <w:ilvl w:val="0"/>
                <w:numId w:val="31"/>
              </w:numPr>
              <w:autoSpaceDE w:val="0"/>
              <w:autoSpaceDN w:val="0"/>
              <w:adjustRightInd w:val="0"/>
              <w:spacing w:after="0" w:line="276" w:lineRule="auto"/>
              <w:ind w:left="412" w:hanging="190"/>
              <w:jc w:val="both"/>
              <w:rPr>
                <w:rFonts w:ascii="Times New Roman" w:hAnsi="Times New Roman" w:cs="Times New Roman"/>
                <w:color w:val="000000"/>
              </w:rPr>
            </w:pPr>
            <w:r>
              <w:rPr>
                <w:rFonts w:ascii="Times New Roman" w:hAnsi="Times New Roman" w:cs="Times New Roman"/>
                <w:color w:val="000000"/>
              </w:rPr>
              <w:t>Contractor</w:t>
            </w:r>
          </w:p>
          <w:p w14:paraId="0B1C0CDF">
            <w:pPr>
              <w:pStyle w:val="39"/>
              <w:numPr>
                <w:ilvl w:val="0"/>
                <w:numId w:val="31"/>
              </w:numPr>
              <w:autoSpaceDE w:val="0"/>
              <w:autoSpaceDN w:val="0"/>
              <w:adjustRightInd w:val="0"/>
              <w:spacing w:after="0" w:line="276" w:lineRule="auto"/>
              <w:ind w:left="412" w:hanging="190"/>
              <w:jc w:val="both"/>
              <w:rPr>
                <w:rFonts w:ascii="Times New Roman" w:hAnsi="Times New Roman" w:cs="Times New Roman"/>
                <w:color w:val="000000"/>
              </w:rPr>
            </w:pPr>
            <w:r>
              <w:rPr>
                <w:rFonts w:ascii="Times New Roman" w:hAnsi="Times New Roman" w:cs="Times New Roman"/>
                <w:color w:val="000000"/>
              </w:rPr>
              <w:t>MCS</w:t>
            </w:r>
          </w:p>
        </w:tc>
      </w:tr>
      <w:tr w14:paraId="68730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33" w:type="dxa"/>
            <w:vMerge w:val="continue"/>
          </w:tcPr>
          <w:p w14:paraId="6465C269">
            <w:pPr>
              <w:pStyle w:val="39"/>
              <w:autoSpaceDE w:val="0"/>
              <w:autoSpaceDN w:val="0"/>
              <w:adjustRightInd w:val="0"/>
              <w:spacing w:after="0" w:line="276" w:lineRule="auto"/>
              <w:ind w:left="360"/>
              <w:rPr>
                <w:rFonts w:ascii="Times New Roman" w:hAnsi="Times New Roman" w:cs="Times New Roman"/>
                <w:color w:val="000000"/>
              </w:rPr>
            </w:pPr>
          </w:p>
        </w:tc>
        <w:tc>
          <w:tcPr>
            <w:tcW w:w="1663" w:type="dxa"/>
          </w:tcPr>
          <w:p w14:paraId="2EE014DB">
            <w:pPr>
              <w:autoSpaceDE w:val="0"/>
              <w:autoSpaceDN w:val="0"/>
              <w:adjustRightInd w:val="0"/>
              <w:spacing w:after="0" w:line="276" w:lineRule="auto"/>
              <w:rPr>
                <w:rFonts w:ascii="Times New Roman" w:hAnsi="Times New Roman" w:cs="Times New Roman"/>
                <w:color w:val="000000"/>
              </w:rPr>
            </w:pPr>
            <w:r>
              <w:rPr>
                <w:rFonts w:ascii="Times New Roman" w:hAnsi="Times New Roman" w:cs="Times New Roman"/>
                <w:color w:val="000000"/>
              </w:rPr>
              <w:t>Mitigation Measures for Operational Stage (Post-Bypass):</w:t>
            </w:r>
          </w:p>
        </w:tc>
        <w:tc>
          <w:tcPr>
            <w:tcW w:w="4537" w:type="dxa"/>
          </w:tcPr>
          <w:p w14:paraId="74808752">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Mandate exclusive use of the bypass for all transit trucks heading to the border/port/platform via updated national traffic regulations (e.g., prohibiting heavy vehicles &gt;7.5 tons on the old R34 through the village except for local deliveries).</w:t>
            </w:r>
          </w:p>
          <w:p w14:paraId="01D44ABB">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Install permanent signage at key junctions (e.g., "Bypass Route Mandatory for Trucks – Fines Apply") and electronic variable message signs (VMS) integrated with the platform's queuing system to direct trucks dynamically.</w:t>
            </w:r>
          </w:p>
          <w:p w14:paraId="484397D0">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Install traffic monitoring camera and enforce speed limits (e.g., 40 km/h) on any allowable local segments, with speed cameras or radar checks.</w:t>
            </w:r>
          </w:p>
          <w:p w14:paraId="6423E306">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Promote GPS routing updates (e.g., via partnerships with navigation apps like Google Maps/Waze) to default to the bypass for heavy vehicles.</w:t>
            </w:r>
          </w:p>
          <w:p w14:paraId="4FC95391">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Establish a joint enforcement protocol, including random checkpoints and fines for violations, to deter shortcut usage.</w:t>
            </w:r>
          </w:p>
          <w:p w14:paraId="658CDFD0">
            <w:pPr>
              <w:pStyle w:val="39"/>
              <w:numPr>
                <w:ilvl w:val="0"/>
                <w:numId w:val="34"/>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Continue community engagement through the Social Impact Monitoring Committee (SIMC), with bi-annual meetings to review traffic data and adjust measures based on feedback.</w:t>
            </w:r>
          </w:p>
        </w:tc>
        <w:tc>
          <w:tcPr>
            <w:tcW w:w="1985" w:type="dxa"/>
          </w:tcPr>
          <w:p w14:paraId="6B1230C7">
            <w:pPr>
              <w:pStyle w:val="39"/>
              <w:autoSpaceDE w:val="0"/>
              <w:autoSpaceDN w:val="0"/>
              <w:adjustRightInd w:val="0"/>
              <w:spacing w:after="0" w:line="276" w:lineRule="auto"/>
              <w:jc w:val="both"/>
              <w:rPr>
                <w:rFonts w:ascii="Times New Roman" w:hAnsi="Times New Roman" w:cs="Times New Roman"/>
                <w:color w:val="000000"/>
              </w:rPr>
            </w:pPr>
          </w:p>
          <w:p w14:paraId="76F54E63">
            <w:pPr>
              <w:pStyle w:val="39"/>
              <w:numPr>
                <w:ilvl w:val="0"/>
                <w:numId w:val="35"/>
              </w:numPr>
              <w:autoSpaceDE w:val="0"/>
              <w:autoSpaceDN w:val="0"/>
              <w:adjustRightInd w:val="0"/>
              <w:spacing w:after="0" w:line="276" w:lineRule="auto"/>
              <w:ind w:left="671"/>
              <w:jc w:val="both"/>
              <w:rPr>
                <w:rFonts w:ascii="Times New Roman" w:hAnsi="Times New Roman" w:cs="Times New Roman"/>
                <w:color w:val="000000"/>
              </w:rPr>
            </w:pPr>
            <w:r>
              <w:rPr>
                <w:rFonts w:ascii="Times New Roman" w:hAnsi="Times New Roman" w:cs="Times New Roman"/>
                <w:color w:val="000000"/>
              </w:rPr>
              <w:t>MCS</w:t>
            </w:r>
          </w:p>
          <w:p w14:paraId="34166C04">
            <w:pPr>
              <w:pStyle w:val="39"/>
              <w:numPr>
                <w:ilvl w:val="0"/>
                <w:numId w:val="35"/>
              </w:numPr>
              <w:autoSpaceDE w:val="0"/>
              <w:autoSpaceDN w:val="0"/>
              <w:adjustRightInd w:val="0"/>
              <w:spacing w:after="0" w:line="276" w:lineRule="auto"/>
              <w:ind w:left="671"/>
              <w:jc w:val="both"/>
              <w:rPr>
                <w:rFonts w:ascii="Times New Roman" w:hAnsi="Times New Roman" w:cs="Times New Roman"/>
                <w:color w:val="000000"/>
              </w:rPr>
            </w:pPr>
            <w:r>
              <w:rPr>
                <w:rFonts w:ascii="Times New Roman" w:hAnsi="Times New Roman" w:cs="Times New Roman"/>
                <w:color w:val="000000"/>
              </w:rPr>
              <w:t>Traffic police</w:t>
            </w:r>
          </w:p>
        </w:tc>
      </w:tr>
      <w:bookmarkEnd w:id="16"/>
      <w:bookmarkEnd w:id="17"/>
    </w:tbl>
    <w:p w14:paraId="006E8A54">
      <w:pPr>
        <w:autoSpaceDE w:val="0"/>
        <w:autoSpaceDN w:val="0"/>
        <w:adjustRightInd w:val="0"/>
        <w:spacing w:after="0" w:line="276" w:lineRule="auto"/>
        <w:jc w:val="both"/>
        <w:rPr>
          <w:rFonts w:ascii="Times New Roman" w:hAnsi="Times New Roman" w:cs="Times New Roman"/>
          <w:b/>
          <w:bCs/>
          <w:color w:val="000000"/>
          <w:lang w:val="en-GB"/>
        </w:rPr>
      </w:pPr>
    </w:p>
    <w:p w14:paraId="271C996A">
      <w:pPr>
        <w:autoSpaceDE w:val="0"/>
        <w:autoSpaceDN w:val="0"/>
        <w:adjustRightInd w:val="0"/>
        <w:spacing w:after="0" w:line="276" w:lineRule="auto"/>
        <w:jc w:val="both"/>
        <w:rPr>
          <w:rFonts w:ascii="Times New Roman" w:hAnsi="Times New Roman" w:cs="Times New Roman"/>
          <w:color w:val="000000"/>
        </w:rPr>
      </w:pPr>
      <w:r>
        <w:rPr>
          <w:b/>
          <w:caps/>
        </w:rPr>
        <w:t>Monitoring Plan</w:t>
      </w:r>
    </w:p>
    <w:p w14:paraId="650F5E32">
      <w:pPr>
        <w:autoSpaceDE w:val="0"/>
        <w:autoSpaceDN w:val="0"/>
        <w:adjustRightInd w:val="0"/>
        <w:spacing w:line="276" w:lineRule="auto"/>
        <w:jc w:val="both"/>
        <w:rPr>
          <w:rFonts w:ascii="Times New Roman" w:hAnsi="Times New Roman" w:cs="Times New Roman"/>
        </w:rPr>
      </w:pPr>
      <w:r>
        <w:rPr>
          <w:rFonts w:ascii="Times New Roman" w:hAnsi="Times New Roman" w:cs="Times New Roman"/>
        </w:rPr>
        <w:t>The environmental and social issues included within the mitigation measures shall be monitored and supervised by supervising engineer, contractors and PIU. Although, the environmental and social impacts are expected to be low to moderate, the potential negative environmental and social impacts are planned to be prevented or mitigated during the construction and operation stages. Environmental and social monitoring systems start from the preparation phase of the subproject through the operation phase in order to prevent negative impacts of the project and observe the effectiveness of mitigation measures. This system helps the PIU, MCS and WB to evaluate the success of mitigation as part of project supervision and allows taking an action when needed. The monitoring system provides technical assistance and supervision when needed, early detection of conditions related to mitigation measures, follows up on mitigation results, and provides information of the project progress.</w:t>
      </w:r>
    </w:p>
    <w:p w14:paraId="5A6C9C9E">
      <w:pPr>
        <w:autoSpaceDE w:val="0"/>
        <w:autoSpaceDN w:val="0"/>
        <w:adjustRightInd w:val="0"/>
        <w:spacing w:line="276" w:lineRule="auto"/>
        <w:jc w:val="both"/>
        <w:rPr>
          <w:rFonts w:ascii="Times New Roman" w:hAnsi="Times New Roman" w:cs="Times New Roman"/>
        </w:rPr>
      </w:pPr>
    </w:p>
    <w:p w14:paraId="103F41C6">
      <w:pPr>
        <w:autoSpaceDE w:val="0"/>
        <w:autoSpaceDN w:val="0"/>
        <w:adjustRightInd w:val="0"/>
        <w:spacing w:line="276" w:lineRule="auto"/>
        <w:jc w:val="both"/>
        <w:rPr>
          <w:rFonts w:ascii="Times New Roman" w:hAnsi="Times New Roman" w:cs="Times New Roman"/>
          <w:b/>
          <w:i/>
        </w:rPr>
      </w:pPr>
      <w:r>
        <w:rPr>
          <w:rFonts w:ascii="Times New Roman" w:hAnsi="Times New Roman" w:cs="Times New Roman"/>
        </w:rPr>
        <w:t>To ensure the Mitigation Plan is efficiently implemented, the ESMP Checklist contains a Monitoring Plan (presented below) which provides: (a) details, of monitoring measures, including the parameters to be measured, methods to be used, frequency of measurements; and, (b) monitoring and reporting procedures to (i) ensure early detection of conditions that need particular mitigation measures, and, (ii) furnish information on the progress and results of mitigation.</w:t>
      </w:r>
    </w:p>
    <w:p w14:paraId="65CAFB6E">
      <w:pPr>
        <w:spacing w:line="276" w:lineRule="auto"/>
        <w:jc w:val="both"/>
        <w:rPr>
          <w:rFonts w:ascii="Times New Roman" w:hAnsi="Times New Roman" w:eastAsia="Times New Roman" w:cs="Times New Roman"/>
          <w:b/>
          <w:i/>
          <w:u w:val="single"/>
        </w:rPr>
      </w:pPr>
      <w:r>
        <w:rPr>
          <w:rFonts w:ascii="Times New Roman" w:hAnsi="Times New Roman" w:eastAsia="Times New Roman" w:cs="Times New Roman"/>
          <w:b/>
          <w:bCs/>
          <w:iCs/>
        </w:rPr>
        <w:t>Impact monitoring</w:t>
      </w:r>
      <w:r>
        <w:rPr>
          <w:rFonts w:ascii="Times New Roman" w:hAnsi="Times New Roman" w:eastAsia="Times New Roman" w:cs="Times New Roman"/>
          <w:iCs/>
        </w:rPr>
        <w:t xml:space="preserve"> includes water and</w:t>
      </w:r>
      <w:r>
        <w:rPr>
          <w:rFonts w:ascii="Times New Roman" w:hAnsi="Times New Roman" w:eastAsia="Times New Roman" w:cs="Times New Roman"/>
        </w:rPr>
        <w:t xml:space="preserve"> air quality, noise, etc. specific for construction phase is responsibility of Contractor and operational monitoring is the responsibility of the MCS PIU. Costs for monitoring activities during construction phase of the subproject shall be included in the Contractor’s costs for proposed civil works.</w:t>
      </w:r>
    </w:p>
    <w:p w14:paraId="1CEE3887">
      <w:pPr>
        <w:spacing w:line="276" w:lineRule="auto"/>
        <w:jc w:val="both"/>
        <w:rPr>
          <w:rFonts w:ascii="Times New Roman" w:hAnsi="Times New Roman" w:eastAsia="Times New Roman" w:cs="Times New Roman"/>
        </w:rPr>
      </w:pPr>
      <w:r>
        <w:rPr>
          <w:rFonts w:ascii="Times New Roman" w:hAnsi="Times New Roman" w:eastAsia="Times New Roman" w:cs="Times New Roman"/>
          <w:b/>
          <w:bCs/>
          <w:iCs/>
        </w:rPr>
        <w:t>Compliance monitoring</w:t>
      </w:r>
      <w:r>
        <w:rPr>
          <w:rFonts w:ascii="Times New Roman" w:hAnsi="Times New Roman" w:eastAsia="Times New Roman" w:cs="Times New Roman"/>
          <w:iCs/>
        </w:rPr>
        <w:t>.</w:t>
      </w:r>
      <w:r>
        <w:rPr>
          <w:rFonts w:ascii="Times New Roman" w:hAnsi="Times New Roman" w:eastAsia="Times New Roman" w:cs="Times New Roman"/>
        </w:rPr>
        <w:t xml:space="preserve"> In addition to supervision and monitoring activities to be done by Contractor,  and MCS PIU, the proposed measures for compliance monitoring for the construction and operation stages shall be carried also by authorized state bodies: (a) The Environmental Agency who is responsible for the issues related to environmental permits and other legal documents; (b) State Construction Inspectorate who is responsible for overall supervision of construction works; and, (c) Municipal environmental authorities, responsible for environmental supervision and monitoring activities. Inspections of construction sites are among the duties of these authorities’ staff and are covered from their own budgets.</w:t>
      </w:r>
    </w:p>
    <w:p w14:paraId="473B1C35">
      <w:pPr>
        <w:autoSpaceDE w:val="0"/>
        <w:autoSpaceDN w:val="0"/>
        <w:adjustRightInd w:val="0"/>
        <w:spacing w:after="0" w:line="276" w:lineRule="auto"/>
        <w:jc w:val="both"/>
        <w:rPr>
          <w:rFonts w:ascii="Times New Roman" w:hAnsi="Times New Roman" w:cs="Times New Roman"/>
          <w:color w:val="000000"/>
        </w:rPr>
      </w:pPr>
    </w:p>
    <w:p w14:paraId="7CC97134">
      <w:pPr>
        <w:autoSpaceDE w:val="0"/>
        <w:autoSpaceDN w:val="0"/>
        <w:adjustRightInd w:val="0"/>
        <w:spacing w:after="0" w:line="276" w:lineRule="auto"/>
        <w:jc w:val="both"/>
        <w:rPr>
          <w:rFonts w:ascii="Times New Roman" w:hAnsi="Times New Roman" w:cs="Times New Roman"/>
          <w:b/>
          <w:bCs/>
          <w:color w:val="000000"/>
          <w:lang w:val="en-GB"/>
        </w:rPr>
      </w:pPr>
      <w:r>
        <w:rPr>
          <w:rFonts w:ascii="Times New Roman" w:hAnsi="Times New Roman" w:cs="Times New Roman"/>
          <w:b/>
          <w:bCs/>
          <w:color w:val="000000"/>
          <w:lang w:val="en-GB"/>
        </w:rPr>
        <w:t>Monitoring Indicators</w:t>
      </w:r>
    </w:p>
    <w:p w14:paraId="5708DA7D">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Air Quality: Dust and emissions control effectiveness</w:t>
      </w:r>
    </w:p>
    <w:p w14:paraId="1DF6E8AA">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Monthly traffic volume monitoring on village roads (e.g., via counters or traffic camera) to detect unauthorized truck usage.</w:t>
      </w:r>
    </w:p>
    <w:p w14:paraId="28B7E5EA">
      <w:pPr>
        <w:numPr>
          <w:ilvl w:val="0"/>
          <w:numId w:val="36"/>
        </w:num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lang w:val="en-GB"/>
        </w:rPr>
        <w:t>P</w:t>
      </w:r>
      <w:r>
        <w:rPr>
          <w:rFonts w:ascii="Times New Roman" w:hAnsi="Times New Roman" w:cs="Times New Roman"/>
          <w:color w:val="000000"/>
        </w:rPr>
        <w:t>ermanent signage at key junctions (e.g., "Bypass Route Mandatory for Trucks – Fines Apply") and electronic variable message signs (VMS) integrated with the platform's queuing system to direct trucks dynamically installed.</w:t>
      </w:r>
    </w:p>
    <w:p w14:paraId="09B2DE55">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Noise Levels: Compliance with permitted noise thresholds</w:t>
      </w:r>
    </w:p>
    <w:p w14:paraId="2E080C17">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Water Discharges: Regular testing of effluent quality</w:t>
      </w:r>
    </w:p>
    <w:p w14:paraId="6F0019E3">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Traffic Impact: Effectiveness of mitigation measures</w:t>
      </w:r>
    </w:p>
    <w:p w14:paraId="05C4A474">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 xml:space="preserve"> Number of truck violations fined; percentage reduction in village truck traffic post-bypass (target: &gt;80%); resident feedback scores on traffic impacts.</w:t>
      </w:r>
    </w:p>
    <w:p w14:paraId="63E59E4D">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Waste Disposal: Proper collection and tracking of waste streams</w:t>
      </w:r>
    </w:p>
    <w:p w14:paraId="7AF6D798">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Worker Safety Compliance: Regular PPE inspections and site safety checks</w:t>
      </w:r>
    </w:p>
    <w:p w14:paraId="6D7D43C5">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Social Safety and Impacts: Number and type of grievances received and resolved,</w:t>
      </w:r>
    </w:p>
    <w:p w14:paraId="760F64C6">
      <w:pPr>
        <w:autoSpaceDE w:val="0"/>
        <w:autoSpaceDN w:val="0"/>
        <w:adjustRightInd w:val="0"/>
        <w:spacing w:after="0" w:line="276" w:lineRule="auto"/>
        <w:ind w:left="720"/>
        <w:jc w:val="both"/>
        <w:rPr>
          <w:rFonts w:ascii="Times New Roman" w:hAnsi="Times New Roman" w:cs="Times New Roman"/>
          <w:color w:val="000000"/>
          <w:lang w:val="en-GB"/>
        </w:rPr>
      </w:pPr>
      <w:r>
        <w:rPr>
          <w:rFonts w:ascii="Times New Roman" w:hAnsi="Times New Roman" w:cs="Times New Roman"/>
          <w:color w:val="000000"/>
          <w:lang w:val="en-GB"/>
        </w:rPr>
        <w:t xml:space="preserve">Number of meetings / trainings on social mitigation risks (CoC, SEA/SH, TiP, etc), </w:t>
      </w:r>
    </w:p>
    <w:p w14:paraId="4E53DE6C">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 xml:space="preserve">Community feedback on engagement </w:t>
      </w:r>
    </w:p>
    <w:p w14:paraId="6AB9EA70">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Stormwater Management: Efficiency of drainage systems</w:t>
      </w:r>
    </w:p>
    <w:p w14:paraId="7963AD37">
      <w:pPr>
        <w:numPr>
          <w:ilvl w:val="0"/>
          <w:numId w:val="36"/>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Biodiversity Protection: Monitoring of habitat disturbances</w:t>
      </w:r>
    </w:p>
    <w:p w14:paraId="7FF911B6">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Implementation Responsibility</w:t>
      </w:r>
    </w:p>
    <w:p w14:paraId="11296157">
      <w:pPr>
        <w:numPr>
          <w:ilvl w:val="0"/>
          <w:numId w:val="37"/>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Contractor: Execution of all mitigation measures</w:t>
      </w:r>
    </w:p>
    <w:p w14:paraId="7B880192">
      <w:pPr>
        <w:numPr>
          <w:ilvl w:val="0"/>
          <w:numId w:val="37"/>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Supervision Engineer: Regular site inspections and compliance checks</w:t>
      </w:r>
    </w:p>
    <w:p w14:paraId="2BB13C5F">
      <w:pPr>
        <w:numPr>
          <w:ilvl w:val="0"/>
          <w:numId w:val="37"/>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Local Environmental Authorities: Water and air quality monitoring</w:t>
      </w:r>
    </w:p>
    <w:p w14:paraId="4965C594">
      <w:p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Reporting Schedule</w:t>
      </w:r>
    </w:p>
    <w:p w14:paraId="60599A07">
      <w:pPr>
        <w:numPr>
          <w:ilvl w:val="0"/>
          <w:numId w:val="38"/>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Monthly Reports: Submitted by contractor to MCS</w:t>
      </w:r>
    </w:p>
    <w:p w14:paraId="6876E185">
      <w:pPr>
        <w:numPr>
          <w:ilvl w:val="0"/>
          <w:numId w:val="38"/>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Quarterly Inspections: Conducted by the Environmental Inspectorate</w:t>
      </w:r>
    </w:p>
    <w:p w14:paraId="33B6A97F">
      <w:pPr>
        <w:numPr>
          <w:ilvl w:val="0"/>
          <w:numId w:val="38"/>
        </w:numPr>
        <w:autoSpaceDE w:val="0"/>
        <w:autoSpaceDN w:val="0"/>
        <w:adjustRightInd w:val="0"/>
        <w:spacing w:after="0" w:line="276" w:lineRule="auto"/>
        <w:jc w:val="both"/>
        <w:rPr>
          <w:rFonts w:ascii="Times New Roman" w:hAnsi="Times New Roman" w:cs="Times New Roman"/>
          <w:color w:val="000000"/>
          <w:lang w:val="en-GB"/>
        </w:rPr>
      </w:pPr>
      <w:r>
        <w:rPr>
          <w:rFonts w:ascii="Times New Roman" w:hAnsi="Times New Roman" w:cs="Times New Roman"/>
          <w:color w:val="000000"/>
          <w:lang w:val="en-GB"/>
        </w:rPr>
        <w:t>Annual Evaluation: Conducted by the World Bank project team</w:t>
      </w:r>
    </w:p>
    <w:bookmarkEnd w:id="15"/>
    <w:p w14:paraId="5FDAE089">
      <w:pPr>
        <w:autoSpaceDE w:val="0"/>
        <w:autoSpaceDN w:val="0"/>
        <w:adjustRightInd w:val="0"/>
        <w:spacing w:after="0" w:line="276" w:lineRule="auto"/>
        <w:jc w:val="center"/>
        <w:sectPr>
          <w:footerReference r:id="rId7" w:type="first"/>
          <w:footerReference r:id="rId5" w:type="default"/>
          <w:footerReference r:id="rId6" w:type="even"/>
          <w:pgSz w:w="12240" w:h="15840"/>
          <w:pgMar w:top="1440" w:right="1440" w:bottom="1440" w:left="1440" w:header="720" w:footer="720" w:gutter="0"/>
          <w:cols w:space="720" w:num="1"/>
          <w:docGrid w:linePitch="360" w:charSpace="0"/>
        </w:sectPr>
      </w:pPr>
      <w:bookmarkStart w:id="18" w:name="_Hlk197897448"/>
    </w:p>
    <w:p w14:paraId="1B071719">
      <w:pPr>
        <w:autoSpaceDE w:val="0"/>
        <w:autoSpaceDN w:val="0"/>
        <w:adjustRightInd w:val="0"/>
        <w:spacing w:after="0" w:line="276" w:lineRule="auto"/>
        <w:jc w:val="center"/>
        <w:rPr>
          <w:rFonts w:ascii="Times New Roman" w:hAnsi="Times New Roman" w:cs="Times New Roman"/>
          <w:color w:val="000000"/>
        </w:rPr>
      </w:pPr>
      <w:r>
        <w:t>MONITORING TABLE</w:t>
      </w:r>
    </w:p>
    <w:p w14:paraId="4E5EB90A">
      <w:pPr>
        <w:autoSpaceDE w:val="0"/>
        <w:autoSpaceDN w:val="0"/>
        <w:adjustRightInd w:val="0"/>
        <w:spacing w:after="0" w:line="276" w:lineRule="auto"/>
        <w:jc w:val="both"/>
        <w:rPr>
          <w:rFonts w:ascii="Times New Roman" w:hAnsi="Times New Roman" w:cs="Times New Roman"/>
          <w:color w:val="000000"/>
        </w:rPr>
      </w:pPr>
    </w:p>
    <w:p w14:paraId="78316F78">
      <w:pPr>
        <w:autoSpaceDE w:val="0"/>
        <w:autoSpaceDN w:val="0"/>
        <w:adjustRightInd w:val="0"/>
        <w:spacing w:after="0" w:line="276" w:lineRule="auto"/>
        <w:jc w:val="both"/>
        <w:rPr>
          <w:rFonts w:ascii="Times New Roman" w:hAnsi="Times New Roman" w:cs="Times New Roman"/>
          <w:color w:val="000000"/>
        </w:rPr>
      </w:pPr>
    </w:p>
    <w:p w14:paraId="485CDED4">
      <w:pPr>
        <w:autoSpaceDE w:val="0"/>
        <w:autoSpaceDN w:val="0"/>
        <w:adjustRightInd w:val="0"/>
        <w:spacing w:after="0" w:line="276" w:lineRule="auto"/>
        <w:jc w:val="both"/>
        <w:rPr>
          <w:rFonts w:ascii="Times New Roman" w:hAnsi="Times New Roman" w:cs="Times New Roman"/>
          <w:color w:val="000000"/>
        </w:rPr>
      </w:pP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1"/>
        <w:gridCol w:w="1769"/>
        <w:gridCol w:w="1292"/>
        <w:gridCol w:w="1821"/>
        <w:gridCol w:w="1521"/>
        <w:gridCol w:w="2024"/>
        <w:gridCol w:w="1468"/>
        <w:gridCol w:w="1990"/>
      </w:tblGrid>
      <w:tr w14:paraId="75157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304520AF">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Phase</w:t>
            </w:r>
          </w:p>
        </w:tc>
        <w:tc>
          <w:tcPr>
            <w:tcW w:w="671" w:type="pct"/>
          </w:tcPr>
          <w:p w14:paraId="6703A433">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What</w:t>
            </w:r>
          </w:p>
        </w:tc>
        <w:tc>
          <w:tcPr>
            <w:tcW w:w="490" w:type="pct"/>
          </w:tcPr>
          <w:p w14:paraId="11BF3570">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Where</w:t>
            </w:r>
          </w:p>
        </w:tc>
        <w:tc>
          <w:tcPr>
            <w:tcW w:w="691" w:type="pct"/>
          </w:tcPr>
          <w:p w14:paraId="6F71B54B">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How</w:t>
            </w:r>
          </w:p>
        </w:tc>
        <w:tc>
          <w:tcPr>
            <w:tcW w:w="577" w:type="pct"/>
          </w:tcPr>
          <w:p w14:paraId="7844F381">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When</w:t>
            </w:r>
          </w:p>
        </w:tc>
        <w:tc>
          <w:tcPr>
            <w:tcW w:w="768" w:type="pct"/>
          </w:tcPr>
          <w:p w14:paraId="083EA669">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Why</w:t>
            </w:r>
          </w:p>
        </w:tc>
        <w:tc>
          <w:tcPr>
            <w:tcW w:w="557" w:type="pct"/>
          </w:tcPr>
          <w:p w14:paraId="6682B813">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Cost</w:t>
            </w:r>
          </w:p>
        </w:tc>
        <w:tc>
          <w:tcPr>
            <w:tcW w:w="755" w:type="pct"/>
          </w:tcPr>
          <w:p w14:paraId="3FDC9801">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Who</w:t>
            </w:r>
          </w:p>
        </w:tc>
      </w:tr>
      <w:tr w14:paraId="331B1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44DCF8B3">
            <w:pPr>
              <w:spacing w:after="0" w:line="240" w:lineRule="auto"/>
              <w:rPr>
                <w:rFonts w:ascii="Times New Roman" w:hAnsi="Times New Roman" w:cs="Times New Roman"/>
                <w:sz w:val="20"/>
                <w:szCs w:val="20"/>
              </w:rPr>
            </w:pPr>
            <w:r>
              <w:rPr>
                <w:rFonts w:ascii="Times New Roman" w:hAnsi="Times New Roman" w:cs="Times New Roman"/>
                <w:sz w:val="20"/>
                <w:szCs w:val="20"/>
              </w:rPr>
              <w:t>Pre-construction</w:t>
            </w:r>
          </w:p>
        </w:tc>
        <w:tc>
          <w:tcPr>
            <w:tcW w:w="671" w:type="pct"/>
          </w:tcPr>
          <w:p w14:paraId="6C3DD533">
            <w:pPr>
              <w:spacing w:after="0" w:line="240" w:lineRule="auto"/>
              <w:rPr>
                <w:rFonts w:ascii="Times New Roman" w:hAnsi="Times New Roman" w:cs="Times New Roman"/>
                <w:sz w:val="20"/>
                <w:szCs w:val="20"/>
              </w:rPr>
            </w:pPr>
            <w:r>
              <w:rPr>
                <w:rFonts w:ascii="Times New Roman" w:hAnsi="Times New Roman" w:cs="Times New Roman"/>
                <w:sz w:val="20"/>
                <w:szCs w:val="20"/>
              </w:rPr>
              <w:t>Site access planning, traffic management, availability of waste disposal facilities, signboards installation</w:t>
            </w:r>
          </w:p>
        </w:tc>
        <w:tc>
          <w:tcPr>
            <w:tcW w:w="490" w:type="pct"/>
          </w:tcPr>
          <w:p w14:paraId="1B28EE21">
            <w:pPr>
              <w:spacing w:after="0" w:line="240" w:lineRule="auto"/>
              <w:rPr>
                <w:rFonts w:ascii="Times New Roman" w:hAnsi="Times New Roman" w:cs="Times New Roman"/>
                <w:sz w:val="20"/>
                <w:szCs w:val="20"/>
              </w:rPr>
            </w:pPr>
            <w:r>
              <w:rPr>
                <w:rFonts w:ascii="Times New Roman" w:hAnsi="Times New Roman" w:cs="Times New Roman"/>
                <w:sz w:val="20"/>
                <w:szCs w:val="20"/>
              </w:rPr>
              <w:t>At and around project site</w:t>
            </w:r>
          </w:p>
        </w:tc>
        <w:tc>
          <w:tcPr>
            <w:tcW w:w="691" w:type="pct"/>
          </w:tcPr>
          <w:p w14:paraId="0C443159">
            <w:pPr>
              <w:spacing w:after="0" w:line="240" w:lineRule="auto"/>
              <w:rPr>
                <w:rFonts w:ascii="Times New Roman" w:hAnsi="Times New Roman" w:cs="Times New Roman"/>
                <w:sz w:val="20"/>
                <w:szCs w:val="20"/>
              </w:rPr>
            </w:pPr>
            <w:r>
              <w:rPr>
                <w:rFonts w:ascii="Times New Roman" w:hAnsi="Times New Roman" w:cs="Times New Roman"/>
                <w:sz w:val="20"/>
                <w:szCs w:val="20"/>
              </w:rPr>
              <w:t>Review of project plans, field inspection, documents verification</w:t>
            </w:r>
          </w:p>
        </w:tc>
        <w:tc>
          <w:tcPr>
            <w:tcW w:w="577" w:type="pct"/>
          </w:tcPr>
          <w:p w14:paraId="2F25D024">
            <w:pPr>
              <w:spacing w:after="0" w:line="240" w:lineRule="auto"/>
              <w:rPr>
                <w:rFonts w:ascii="Times New Roman" w:hAnsi="Times New Roman" w:cs="Times New Roman"/>
                <w:sz w:val="20"/>
                <w:szCs w:val="20"/>
              </w:rPr>
            </w:pPr>
            <w:r>
              <w:rPr>
                <w:rFonts w:ascii="Times New Roman" w:hAnsi="Times New Roman" w:cs="Times New Roman"/>
                <w:sz w:val="20"/>
                <w:szCs w:val="20"/>
              </w:rPr>
              <w:t>Once before construction starts</w:t>
            </w:r>
          </w:p>
        </w:tc>
        <w:tc>
          <w:tcPr>
            <w:tcW w:w="768" w:type="pct"/>
          </w:tcPr>
          <w:p w14:paraId="58AEC061">
            <w:pPr>
              <w:spacing w:after="0" w:line="240" w:lineRule="auto"/>
              <w:rPr>
                <w:rFonts w:ascii="Times New Roman" w:hAnsi="Times New Roman" w:cs="Times New Roman"/>
                <w:sz w:val="20"/>
                <w:szCs w:val="20"/>
              </w:rPr>
            </w:pPr>
            <w:r>
              <w:rPr>
                <w:rFonts w:ascii="Times New Roman" w:hAnsi="Times New Roman" w:cs="Times New Roman"/>
                <w:sz w:val="20"/>
                <w:szCs w:val="20"/>
              </w:rPr>
              <w:t>Ensure legal compliance, safe access, and preparedness for construction</w:t>
            </w:r>
          </w:p>
        </w:tc>
        <w:tc>
          <w:tcPr>
            <w:tcW w:w="557" w:type="pct"/>
          </w:tcPr>
          <w:p w14:paraId="43173822">
            <w:pPr>
              <w:spacing w:after="0" w:line="240" w:lineRule="auto"/>
              <w:rPr>
                <w:rFonts w:ascii="Times New Roman" w:hAnsi="Times New Roman" w:cs="Times New Roman"/>
                <w:sz w:val="20"/>
                <w:szCs w:val="20"/>
              </w:rPr>
            </w:pPr>
            <w:r>
              <w:rPr>
                <w:rFonts w:ascii="Times New Roman" w:hAnsi="Times New Roman" w:cs="Times New Roman"/>
                <w:sz w:val="20"/>
                <w:szCs w:val="20"/>
              </w:rPr>
              <w:t>Marginal, within project budget</w:t>
            </w:r>
          </w:p>
        </w:tc>
        <w:tc>
          <w:tcPr>
            <w:tcW w:w="755" w:type="pct"/>
          </w:tcPr>
          <w:p w14:paraId="6CD14398">
            <w:pPr>
              <w:spacing w:after="0" w:line="240" w:lineRule="auto"/>
              <w:rPr>
                <w:rFonts w:ascii="Times New Roman" w:hAnsi="Times New Roman" w:cs="Times New Roman"/>
                <w:sz w:val="20"/>
                <w:szCs w:val="20"/>
              </w:rPr>
            </w:pPr>
            <w:r>
              <w:rPr>
                <w:rFonts w:ascii="Times New Roman" w:hAnsi="Times New Roman" w:cs="Times New Roman"/>
                <w:sz w:val="20"/>
                <w:szCs w:val="20"/>
              </w:rPr>
              <w:t>Contractor, Engineer, PIU, LPA</w:t>
            </w:r>
          </w:p>
        </w:tc>
      </w:tr>
      <w:tr w14:paraId="73126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3148941F">
            <w:pPr>
              <w:spacing w:after="0" w:line="240" w:lineRule="auto"/>
              <w:rPr>
                <w:rFonts w:ascii="Times New Roman" w:hAnsi="Times New Roman" w:cs="Times New Roman"/>
                <w:sz w:val="20"/>
                <w:szCs w:val="20"/>
              </w:rPr>
            </w:pPr>
            <w:r>
              <w:rPr>
                <w:rFonts w:ascii="Times New Roman" w:hAnsi="Times New Roman" w:cs="Times New Roman"/>
                <w:sz w:val="20"/>
                <w:szCs w:val="20"/>
              </w:rPr>
              <w:t>Construction</w:t>
            </w:r>
          </w:p>
        </w:tc>
        <w:tc>
          <w:tcPr>
            <w:tcW w:w="671" w:type="pct"/>
          </w:tcPr>
          <w:p w14:paraId="48672474">
            <w:pPr>
              <w:spacing w:after="0" w:line="240" w:lineRule="auto"/>
              <w:rPr>
                <w:rFonts w:ascii="Times New Roman" w:hAnsi="Times New Roman" w:cs="Times New Roman"/>
                <w:sz w:val="20"/>
                <w:szCs w:val="20"/>
              </w:rPr>
            </w:pPr>
            <w:r>
              <w:rPr>
                <w:rFonts w:ascii="Times New Roman" w:hAnsi="Times New Roman" w:cs="Times New Roman"/>
                <w:sz w:val="20"/>
                <w:szCs w:val="20"/>
              </w:rPr>
              <w:t>Hazardous material inventory (e.g., asbestos), construction material safety (e.g., paints, solvents)</w:t>
            </w:r>
          </w:p>
        </w:tc>
        <w:tc>
          <w:tcPr>
            <w:tcW w:w="490" w:type="pct"/>
          </w:tcPr>
          <w:p w14:paraId="37EE6303">
            <w:pPr>
              <w:spacing w:after="0" w:line="240" w:lineRule="auto"/>
              <w:rPr>
                <w:rFonts w:ascii="Times New Roman" w:hAnsi="Times New Roman" w:cs="Times New Roman"/>
                <w:sz w:val="20"/>
                <w:szCs w:val="20"/>
              </w:rPr>
            </w:pPr>
            <w:r>
              <w:rPr>
                <w:rFonts w:ascii="Times New Roman" w:hAnsi="Times New Roman" w:cs="Times New Roman"/>
                <w:sz w:val="20"/>
                <w:szCs w:val="20"/>
              </w:rPr>
              <w:t>Contractor's store / building yard / site</w:t>
            </w:r>
          </w:p>
        </w:tc>
        <w:tc>
          <w:tcPr>
            <w:tcW w:w="691" w:type="pct"/>
          </w:tcPr>
          <w:p w14:paraId="4F594102">
            <w:pPr>
              <w:spacing w:after="0" w:line="240" w:lineRule="auto"/>
              <w:rPr>
                <w:rFonts w:ascii="Times New Roman" w:hAnsi="Times New Roman" w:cs="Times New Roman"/>
                <w:sz w:val="20"/>
                <w:szCs w:val="20"/>
              </w:rPr>
            </w:pPr>
            <w:r>
              <w:rPr>
                <w:rFonts w:ascii="Times New Roman" w:hAnsi="Times New Roman" w:cs="Times New Roman"/>
                <w:sz w:val="20"/>
                <w:szCs w:val="20"/>
              </w:rPr>
              <w:t>Visual inspection, research in toxic material databases, lab testing if needed</w:t>
            </w:r>
          </w:p>
        </w:tc>
        <w:tc>
          <w:tcPr>
            <w:tcW w:w="577" w:type="pct"/>
          </w:tcPr>
          <w:p w14:paraId="2E1FB82E">
            <w:pPr>
              <w:spacing w:after="0" w:line="240" w:lineRule="auto"/>
              <w:rPr>
                <w:rFonts w:ascii="Times New Roman" w:hAnsi="Times New Roman" w:cs="Times New Roman"/>
                <w:sz w:val="20"/>
                <w:szCs w:val="20"/>
              </w:rPr>
            </w:pPr>
            <w:r>
              <w:rPr>
                <w:rFonts w:ascii="Times New Roman" w:hAnsi="Times New Roman" w:cs="Times New Roman"/>
                <w:sz w:val="20"/>
                <w:szCs w:val="20"/>
              </w:rPr>
              <w:t>Before rehabilitation work begins / Before material approval</w:t>
            </w:r>
          </w:p>
        </w:tc>
        <w:tc>
          <w:tcPr>
            <w:tcW w:w="768" w:type="pct"/>
          </w:tcPr>
          <w:p w14:paraId="11E97702">
            <w:pPr>
              <w:spacing w:after="0" w:line="240" w:lineRule="auto"/>
              <w:rPr>
                <w:rFonts w:ascii="Times New Roman" w:hAnsi="Times New Roman" w:cs="Times New Roman"/>
                <w:sz w:val="20"/>
                <w:szCs w:val="20"/>
              </w:rPr>
            </w:pPr>
            <w:r>
              <w:rPr>
                <w:rFonts w:ascii="Times New Roman" w:hAnsi="Times New Roman" w:cs="Times New Roman"/>
                <w:sz w:val="20"/>
                <w:szCs w:val="20"/>
              </w:rPr>
              <w:t>Prevent health and environmental risks</w:t>
            </w:r>
          </w:p>
        </w:tc>
        <w:tc>
          <w:tcPr>
            <w:tcW w:w="557" w:type="pct"/>
          </w:tcPr>
          <w:p w14:paraId="44874757">
            <w:pPr>
              <w:spacing w:after="0" w:line="240" w:lineRule="auto"/>
              <w:rPr>
                <w:rFonts w:ascii="Times New Roman" w:hAnsi="Times New Roman" w:cs="Times New Roman"/>
                <w:sz w:val="20"/>
                <w:szCs w:val="20"/>
              </w:rPr>
            </w:pPr>
            <w:r>
              <w:rPr>
                <w:rFonts w:ascii="Times New Roman" w:hAnsi="Times New Roman" w:cs="Times New Roman"/>
                <w:sz w:val="20"/>
                <w:szCs w:val="20"/>
              </w:rPr>
              <w:t>Marginal; special analysis account at PMU if needed</w:t>
            </w:r>
          </w:p>
        </w:tc>
        <w:tc>
          <w:tcPr>
            <w:tcW w:w="755" w:type="pct"/>
          </w:tcPr>
          <w:p w14:paraId="14C8B69D">
            <w:pPr>
              <w:spacing w:after="0" w:line="240" w:lineRule="auto"/>
              <w:rPr>
                <w:rFonts w:ascii="Times New Roman" w:hAnsi="Times New Roman" w:cs="Times New Roman"/>
                <w:sz w:val="20"/>
                <w:szCs w:val="20"/>
              </w:rPr>
            </w:pPr>
            <w:r>
              <w:rPr>
                <w:rFonts w:ascii="Times New Roman" w:hAnsi="Times New Roman" w:cs="Times New Roman"/>
                <w:sz w:val="20"/>
                <w:szCs w:val="20"/>
              </w:rPr>
              <w:t>Contractor, Engineer, PIU</w:t>
            </w:r>
          </w:p>
        </w:tc>
      </w:tr>
      <w:tr w14:paraId="393B0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2538C477">
            <w:pPr>
              <w:spacing w:after="0" w:line="240" w:lineRule="auto"/>
              <w:rPr>
                <w:rFonts w:ascii="Times New Roman" w:hAnsi="Times New Roman" w:cs="Times New Roman"/>
                <w:sz w:val="20"/>
                <w:szCs w:val="20"/>
              </w:rPr>
            </w:pPr>
            <w:r>
              <w:rPr>
                <w:rFonts w:ascii="Times New Roman" w:hAnsi="Times New Roman" w:cs="Times New Roman"/>
                <w:sz w:val="20"/>
                <w:szCs w:val="20"/>
              </w:rPr>
              <w:t>Construction</w:t>
            </w:r>
          </w:p>
        </w:tc>
        <w:tc>
          <w:tcPr>
            <w:tcW w:w="671" w:type="pct"/>
          </w:tcPr>
          <w:p w14:paraId="0DD5DA15">
            <w:pPr>
              <w:spacing w:after="0" w:line="240" w:lineRule="auto"/>
              <w:rPr>
                <w:rFonts w:ascii="Times New Roman" w:hAnsi="Times New Roman" w:cs="Times New Roman"/>
                <w:sz w:val="20"/>
                <w:szCs w:val="20"/>
              </w:rPr>
            </w:pPr>
            <w:r>
              <w:rPr>
                <w:rFonts w:ascii="Times New Roman" w:hAnsi="Times New Roman" w:cs="Times New Roman"/>
                <w:sz w:val="20"/>
                <w:szCs w:val="20"/>
              </w:rPr>
              <w:t>Dust (PM10, PM2.5), noise (dB), wastewater discharge, waste types and volumes</w:t>
            </w:r>
          </w:p>
        </w:tc>
        <w:tc>
          <w:tcPr>
            <w:tcW w:w="490" w:type="pct"/>
          </w:tcPr>
          <w:p w14:paraId="601C0ABA">
            <w:pPr>
              <w:spacing w:after="0" w:line="240" w:lineRule="auto"/>
              <w:rPr>
                <w:rFonts w:ascii="Times New Roman" w:hAnsi="Times New Roman" w:cs="Times New Roman"/>
                <w:sz w:val="20"/>
                <w:szCs w:val="20"/>
              </w:rPr>
            </w:pPr>
            <w:r>
              <w:rPr>
                <w:rFonts w:ascii="Times New Roman" w:hAnsi="Times New Roman" w:cs="Times New Roman"/>
                <w:sz w:val="20"/>
                <w:szCs w:val="20"/>
              </w:rPr>
              <w:t>Construction site, perimeter, nearby community</w:t>
            </w:r>
          </w:p>
        </w:tc>
        <w:tc>
          <w:tcPr>
            <w:tcW w:w="691" w:type="pct"/>
          </w:tcPr>
          <w:p w14:paraId="2ED47D21">
            <w:pPr>
              <w:spacing w:after="0" w:line="240" w:lineRule="auto"/>
              <w:rPr>
                <w:rFonts w:ascii="Times New Roman" w:hAnsi="Times New Roman" w:cs="Times New Roman"/>
                <w:sz w:val="20"/>
                <w:szCs w:val="20"/>
              </w:rPr>
            </w:pPr>
            <w:r>
              <w:rPr>
                <w:rFonts w:ascii="Times New Roman" w:hAnsi="Times New Roman" w:cs="Times New Roman"/>
                <w:sz w:val="20"/>
                <w:szCs w:val="20"/>
              </w:rPr>
              <w:t>Visual checks, meters/sensors, waste transport logs</w:t>
            </w:r>
          </w:p>
        </w:tc>
        <w:tc>
          <w:tcPr>
            <w:tcW w:w="577" w:type="pct"/>
          </w:tcPr>
          <w:p w14:paraId="28D1229F">
            <w:pPr>
              <w:spacing w:after="0" w:line="240" w:lineRule="auto"/>
              <w:rPr>
                <w:rFonts w:ascii="Times New Roman" w:hAnsi="Times New Roman" w:cs="Times New Roman"/>
                <w:sz w:val="20"/>
                <w:szCs w:val="20"/>
              </w:rPr>
            </w:pPr>
            <w:r>
              <w:rPr>
                <w:rFonts w:ascii="Times New Roman" w:hAnsi="Times New Roman" w:cs="Times New Roman"/>
                <w:sz w:val="20"/>
                <w:szCs w:val="20"/>
              </w:rPr>
              <w:t>Daily or continuously during activity</w:t>
            </w:r>
          </w:p>
        </w:tc>
        <w:tc>
          <w:tcPr>
            <w:tcW w:w="768" w:type="pct"/>
          </w:tcPr>
          <w:p w14:paraId="7A29FA1C">
            <w:pPr>
              <w:spacing w:after="0" w:line="240" w:lineRule="auto"/>
              <w:rPr>
                <w:rFonts w:ascii="Times New Roman" w:hAnsi="Times New Roman" w:cs="Times New Roman"/>
                <w:sz w:val="20"/>
                <w:szCs w:val="20"/>
              </w:rPr>
            </w:pPr>
            <w:r>
              <w:rPr>
                <w:rFonts w:ascii="Times New Roman" w:hAnsi="Times New Roman" w:cs="Times New Roman"/>
                <w:sz w:val="20"/>
                <w:szCs w:val="20"/>
              </w:rPr>
              <w:t>Minimize nuisance, ensure compliance with safety/environmental standards</w:t>
            </w:r>
          </w:p>
        </w:tc>
        <w:tc>
          <w:tcPr>
            <w:tcW w:w="557" w:type="pct"/>
          </w:tcPr>
          <w:p w14:paraId="376D07E6">
            <w:pPr>
              <w:spacing w:after="0" w:line="240" w:lineRule="auto"/>
              <w:rPr>
                <w:rFonts w:ascii="Times New Roman" w:hAnsi="Times New Roman" w:cs="Times New Roman"/>
                <w:sz w:val="20"/>
                <w:szCs w:val="20"/>
              </w:rPr>
            </w:pPr>
            <w:r>
              <w:rPr>
                <w:rFonts w:ascii="Times New Roman" w:hAnsi="Times New Roman" w:cs="Times New Roman"/>
                <w:sz w:val="20"/>
                <w:szCs w:val="20"/>
              </w:rPr>
              <w:t>Included in contractor’s budget</w:t>
            </w:r>
          </w:p>
        </w:tc>
        <w:tc>
          <w:tcPr>
            <w:tcW w:w="755" w:type="pct"/>
          </w:tcPr>
          <w:p w14:paraId="6CD4C29E">
            <w:pPr>
              <w:spacing w:after="0" w:line="240" w:lineRule="auto"/>
              <w:rPr>
                <w:rFonts w:ascii="Times New Roman" w:hAnsi="Times New Roman" w:cs="Times New Roman"/>
                <w:sz w:val="20"/>
                <w:szCs w:val="20"/>
              </w:rPr>
            </w:pPr>
            <w:r>
              <w:rPr>
                <w:rFonts w:ascii="Times New Roman" w:hAnsi="Times New Roman" w:cs="Times New Roman"/>
                <w:sz w:val="20"/>
                <w:szCs w:val="20"/>
              </w:rPr>
              <w:t>Contractor, Engineer, Environmental Consultant</w:t>
            </w:r>
          </w:p>
        </w:tc>
      </w:tr>
      <w:tr w14:paraId="1FD7C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2968DEF0">
            <w:pPr>
              <w:spacing w:after="0" w:line="240" w:lineRule="auto"/>
              <w:rPr>
                <w:rFonts w:ascii="Times New Roman" w:hAnsi="Times New Roman" w:cs="Times New Roman"/>
                <w:sz w:val="20"/>
                <w:szCs w:val="20"/>
              </w:rPr>
            </w:pPr>
            <w:r>
              <w:rPr>
                <w:rFonts w:ascii="Times New Roman" w:hAnsi="Times New Roman" w:cs="Times New Roman"/>
                <w:sz w:val="20"/>
                <w:szCs w:val="20"/>
              </w:rPr>
              <w:t>Construction</w:t>
            </w:r>
          </w:p>
        </w:tc>
        <w:tc>
          <w:tcPr>
            <w:tcW w:w="671" w:type="pct"/>
          </w:tcPr>
          <w:p w14:paraId="373D6B90">
            <w:pPr>
              <w:spacing w:after="0" w:line="240" w:lineRule="auto"/>
              <w:rPr>
                <w:rFonts w:ascii="Times New Roman" w:hAnsi="Times New Roman" w:cs="Times New Roman"/>
                <w:sz w:val="20"/>
                <w:szCs w:val="20"/>
              </w:rPr>
            </w:pPr>
            <w:r>
              <w:rPr>
                <w:rFonts w:ascii="Times New Roman" w:hAnsi="Times New Roman" w:cs="Times New Roman"/>
                <w:sz w:val="20"/>
                <w:szCs w:val="20"/>
              </w:rPr>
              <w:t>Community health and safety (e.g., traffic incidents, signage), grievance handling, SEA/SH and CoC training</w:t>
            </w:r>
          </w:p>
        </w:tc>
        <w:tc>
          <w:tcPr>
            <w:tcW w:w="490" w:type="pct"/>
          </w:tcPr>
          <w:p w14:paraId="4A544D00">
            <w:pPr>
              <w:spacing w:after="0" w:line="240" w:lineRule="auto"/>
              <w:rPr>
                <w:rFonts w:ascii="Times New Roman" w:hAnsi="Times New Roman" w:cs="Times New Roman"/>
                <w:sz w:val="20"/>
                <w:szCs w:val="20"/>
              </w:rPr>
            </w:pPr>
            <w:r>
              <w:rPr>
                <w:rFonts w:ascii="Times New Roman" w:hAnsi="Times New Roman" w:cs="Times New Roman"/>
                <w:sz w:val="20"/>
                <w:szCs w:val="20"/>
              </w:rPr>
              <w:t>Access roads, community, stakeholder locations</w:t>
            </w:r>
          </w:p>
        </w:tc>
        <w:tc>
          <w:tcPr>
            <w:tcW w:w="691" w:type="pct"/>
          </w:tcPr>
          <w:p w14:paraId="1F1AE31A">
            <w:pPr>
              <w:spacing w:after="0" w:line="240" w:lineRule="auto"/>
              <w:rPr>
                <w:rFonts w:ascii="Times New Roman" w:hAnsi="Times New Roman" w:cs="Times New Roman"/>
                <w:sz w:val="20"/>
                <w:szCs w:val="20"/>
              </w:rPr>
            </w:pPr>
            <w:r>
              <w:rPr>
                <w:rFonts w:ascii="Times New Roman" w:hAnsi="Times New Roman" w:cs="Times New Roman"/>
                <w:sz w:val="20"/>
                <w:szCs w:val="20"/>
              </w:rPr>
              <w:t>Inspection, training records, grievance log review</w:t>
            </w:r>
          </w:p>
        </w:tc>
        <w:tc>
          <w:tcPr>
            <w:tcW w:w="577" w:type="pct"/>
          </w:tcPr>
          <w:p w14:paraId="658717B6">
            <w:pPr>
              <w:spacing w:after="0" w:line="240" w:lineRule="auto"/>
              <w:rPr>
                <w:rFonts w:ascii="Times New Roman" w:hAnsi="Times New Roman" w:cs="Times New Roman"/>
                <w:sz w:val="20"/>
                <w:szCs w:val="20"/>
              </w:rPr>
            </w:pPr>
            <w:r>
              <w:rPr>
                <w:rFonts w:ascii="Times New Roman" w:hAnsi="Times New Roman" w:cs="Times New Roman"/>
                <w:sz w:val="20"/>
                <w:szCs w:val="20"/>
              </w:rPr>
              <w:t>Monthly and during incidents / Quarterly for training</w:t>
            </w:r>
          </w:p>
        </w:tc>
        <w:tc>
          <w:tcPr>
            <w:tcW w:w="768" w:type="pct"/>
          </w:tcPr>
          <w:p w14:paraId="0AA594F6">
            <w:pPr>
              <w:spacing w:after="0" w:line="240" w:lineRule="auto"/>
              <w:rPr>
                <w:rFonts w:ascii="Times New Roman" w:hAnsi="Times New Roman" w:cs="Times New Roman"/>
                <w:sz w:val="20"/>
                <w:szCs w:val="20"/>
              </w:rPr>
            </w:pPr>
            <w:r>
              <w:rPr>
                <w:rFonts w:ascii="Times New Roman" w:hAnsi="Times New Roman" w:cs="Times New Roman"/>
                <w:sz w:val="20"/>
                <w:szCs w:val="20"/>
              </w:rPr>
              <w:t>Promote safe and inclusive environment, respond to social risks</w:t>
            </w:r>
          </w:p>
        </w:tc>
        <w:tc>
          <w:tcPr>
            <w:tcW w:w="557" w:type="pct"/>
          </w:tcPr>
          <w:p w14:paraId="0D504DCE">
            <w:pPr>
              <w:spacing w:after="0" w:line="240" w:lineRule="auto"/>
              <w:rPr>
                <w:rFonts w:ascii="Times New Roman" w:hAnsi="Times New Roman" w:cs="Times New Roman"/>
                <w:sz w:val="20"/>
                <w:szCs w:val="20"/>
              </w:rPr>
            </w:pPr>
            <w:r>
              <w:rPr>
                <w:rFonts w:ascii="Times New Roman" w:hAnsi="Times New Roman" w:cs="Times New Roman"/>
                <w:sz w:val="20"/>
                <w:szCs w:val="20"/>
              </w:rPr>
              <w:t>Included in PIU/contractor budget</w:t>
            </w:r>
          </w:p>
        </w:tc>
        <w:tc>
          <w:tcPr>
            <w:tcW w:w="755" w:type="pct"/>
          </w:tcPr>
          <w:p w14:paraId="5CC5804C">
            <w:pPr>
              <w:spacing w:after="0" w:line="240" w:lineRule="auto"/>
              <w:rPr>
                <w:rFonts w:ascii="Times New Roman" w:hAnsi="Times New Roman" w:cs="Times New Roman"/>
                <w:sz w:val="20"/>
                <w:szCs w:val="20"/>
              </w:rPr>
            </w:pPr>
            <w:r>
              <w:rPr>
                <w:rFonts w:ascii="Times New Roman" w:hAnsi="Times New Roman" w:cs="Times New Roman"/>
                <w:sz w:val="20"/>
                <w:szCs w:val="20"/>
              </w:rPr>
              <w:t>Contractor, PIU, Social Specialist</w:t>
            </w:r>
          </w:p>
        </w:tc>
      </w:tr>
      <w:tr w14:paraId="51CE9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7B18C08E">
            <w:pPr>
              <w:spacing w:after="0" w:line="240" w:lineRule="auto"/>
              <w:rPr>
                <w:rFonts w:ascii="Times New Roman" w:hAnsi="Times New Roman" w:cs="Times New Roman"/>
                <w:sz w:val="20"/>
                <w:szCs w:val="20"/>
              </w:rPr>
            </w:pPr>
            <w:r>
              <w:rPr>
                <w:rFonts w:ascii="Times New Roman" w:hAnsi="Times New Roman" w:cs="Times New Roman"/>
                <w:sz w:val="20"/>
                <w:szCs w:val="20"/>
              </w:rPr>
              <w:t>Construction &amp; Early Operation (Pre-Bypass)</w:t>
            </w:r>
          </w:p>
        </w:tc>
        <w:tc>
          <w:tcPr>
            <w:tcW w:w="671" w:type="pct"/>
          </w:tcPr>
          <w:p w14:paraId="7FA008D5">
            <w:pPr>
              <w:spacing w:after="0" w:line="240" w:lineRule="auto"/>
              <w:rPr>
                <w:rFonts w:ascii="Times New Roman" w:hAnsi="Times New Roman" w:cs="Times New Roman"/>
                <w:sz w:val="20"/>
                <w:szCs w:val="20"/>
              </w:rPr>
            </w:pPr>
            <w:r>
              <w:rPr>
                <w:rFonts w:ascii="Times New Roman" w:hAnsi="Times New Roman" w:cs="Times New Roman"/>
                <w:sz w:val="20"/>
                <w:szCs w:val="20"/>
              </w:rPr>
              <w:t>Traffic management: signage, speed bumps, barriers; truck restrictions; enforcement of speed limits (30–40 km/h); daily monitoring of truck flows; community awareness campaigns.</w:t>
            </w:r>
          </w:p>
        </w:tc>
        <w:tc>
          <w:tcPr>
            <w:tcW w:w="490" w:type="pct"/>
          </w:tcPr>
          <w:p w14:paraId="397FE052">
            <w:pPr>
              <w:spacing w:after="0" w:line="240" w:lineRule="auto"/>
              <w:rPr>
                <w:rFonts w:ascii="Times New Roman" w:hAnsi="Times New Roman" w:cs="Times New Roman"/>
                <w:sz w:val="20"/>
                <w:szCs w:val="20"/>
              </w:rPr>
            </w:pPr>
            <w:r>
              <w:rPr>
                <w:rFonts w:ascii="Times New Roman" w:hAnsi="Times New Roman" w:cs="Times New Roman"/>
                <w:sz w:val="20"/>
                <w:szCs w:val="20"/>
              </w:rPr>
              <w:t>Giurgiulești village roads, access to platform and R34/M3 junctions.</w:t>
            </w:r>
          </w:p>
        </w:tc>
        <w:tc>
          <w:tcPr>
            <w:tcW w:w="691" w:type="pct"/>
          </w:tcPr>
          <w:p w14:paraId="79CD76E3">
            <w:pPr>
              <w:spacing w:after="0" w:line="240" w:lineRule="auto"/>
              <w:rPr>
                <w:rFonts w:ascii="Times New Roman" w:hAnsi="Times New Roman" w:cs="Times New Roman"/>
                <w:sz w:val="20"/>
                <w:szCs w:val="20"/>
              </w:rPr>
            </w:pPr>
            <w:r>
              <w:rPr>
                <w:rFonts w:ascii="Times New Roman" w:hAnsi="Times New Roman" w:cs="Times New Roman"/>
                <w:sz w:val="20"/>
                <w:szCs w:val="20"/>
              </w:rPr>
              <w:t>Daily traffic counts, electronic queuing system monitoring, police patrols, SIMC/community meetings, grievance log reviews</w:t>
            </w:r>
          </w:p>
        </w:tc>
        <w:tc>
          <w:tcPr>
            <w:tcW w:w="577" w:type="pct"/>
          </w:tcPr>
          <w:p w14:paraId="5A56DF2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From start of construction until M3 bypass commissioning (Dec 2025). </w:t>
            </w:r>
          </w:p>
        </w:tc>
        <w:tc>
          <w:tcPr>
            <w:tcW w:w="768" w:type="pct"/>
          </w:tcPr>
          <w:p w14:paraId="51BB71DF">
            <w:pPr>
              <w:spacing w:after="0" w:line="240" w:lineRule="auto"/>
              <w:rPr>
                <w:rFonts w:ascii="Times New Roman" w:hAnsi="Times New Roman" w:cs="Times New Roman"/>
                <w:sz w:val="20"/>
                <w:szCs w:val="20"/>
              </w:rPr>
            </w:pPr>
            <w:r>
              <w:rPr>
                <w:rFonts w:ascii="Times New Roman" w:hAnsi="Times New Roman" w:cs="Times New Roman"/>
                <w:sz w:val="20"/>
                <w:szCs w:val="20"/>
              </w:rPr>
              <w:t>Prevent increase in truck traffic through village; reduce noise, dust, vibration, and safety risks; address community concerns.</w:t>
            </w:r>
          </w:p>
        </w:tc>
        <w:tc>
          <w:tcPr>
            <w:tcW w:w="557" w:type="pct"/>
          </w:tcPr>
          <w:p w14:paraId="1F0C5347">
            <w:pPr>
              <w:spacing w:after="0" w:line="240" w:lineRule="auto"/>
              <w:rPr>
                <w:rFonts w:ascii="Times New Roman" w:hAnsi="Times New Roman" w:cs="Times New Roman"/>
                <w:sz w:val="20"/>
                <w:szCs w:val="20"/>
              </w:rPr>
            </w:pPr>
            <w:r>
              <w:rPr>
                <w:rFonts w:ascii="Times New Roman" w:hAnsi="Times New Roman" w:cs="Times New Roman"/>
                <w:sz w:val="20"/>
                <w:szCs w:val="20"/>
              </w:rPr>
              <w:t>Included in contractor/PIU operational budget</w:t>
            </w:r>
          </w:p>
        </w:tc>
        <w:tc>
          <w:tcPr>
            <w:tcW w:w="755" w:type="pct"/>
          </w:tcPr>
          <w:p w14:paraId="36E38769">
            <w:pPr>
              <w:spacing w:after="0" w:line="240" w:lineRule="auto"/>
              <w:rPr>
                <w:rFonts w:ascii="Times New Roman" w:hAnsi="Times New Roman" w:cs="Times New Roman"/>
                <w:sz w:val="20"/>
                <w:szCs w:val="20"/>
              </w:rPr>
            </w:pPr>
            <w:r>
              <w:rPr>
                <w:rFonts w:ascii="Times New Roman" w:hAnsi="Times New Roman" w:cs="Times New Roman"/>
                <w:sz w:val="20"/>
                <w:szCs w:val="20"/>
              </w:rPr>
              <w:t>Contractor, PIU, LPA (local enforcement), NRA (coordination).</w:t>
            </w:r>
          </w:p>
        </w:tc>
      </w:tr>
      <w:tr w14:paraId="3AF9D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784F4556">
            <w:pPr>
              <w:spacing w:after="0" w:line="240" w:lineRule="auto"/>
              <w:rPr>
                <w:rFonts w:ascii="Times New Roman" w:hAnsi="Times New Roman" w:cs="Times New Roman"/>
                <w:sz w:val="20"/>
                <w:szCs w:val="20"/>
              </w:rPr>
            </w:pPr>
            <w:r>
              <w:rPr>
                <w:rFonts w:ascii="Times New Roman" w:hAnsi="Times New Roman" w:cs="Times New Roman"/>
                <w:sz w:val="20"/>
                <w:szCs w:val="20"/>
              </w:rPr>
              <w:t>Operation (Post-Bypass)</w:t>
            </w:r>
          </w:p>
        </w:tc>
        <w:tc>
          <w:tcPr>
            <w:tcW w:w="671" w:type="pct"/>
          </w:tcPr>
          <w:p w14:paraId="1423FDD0">
            <w:pPr>
              <w:spacing w:after="0" w:line="240" w:lineRule="auto"/>
              <w:rPr>
                <w:rFonts w:ascii="Times New Roman" w:hAnsi="Times New Roman" w:cs="Times New Roman"/>
                <w:sz w:val="20"/>
                <w:szCs w:val="20"/>
              </w:rPr>
            </w:pPr>
            <w:r>
              <w:rPr>
                <w:rFonts w:ascii="Times New Roman" w:hAnsi="Times New Roman" w:cs="Times New Roman"/>
                <w:sz w:val="20"/>
                <w:szCs w:val="20"/>
              </w:rPr>
              <w:t>Enforcement of mandatory bypass use; installation of permanent signage and VMS; GPS routing updates; random police checkpoints; community engagement via SIMC.</w:t>
            </w:r>
          </w:p>
        </w:tc>
        <w:tc>
          <w:tcPr>
            <w:tcW w:w="490" w:type="pct"/>
          </w:tcPr>
          <w:p w14:paraId="43CCDAEC">
            <w:pPr>
              <w:spacing w:after="0" w:line="240" w:lineRule="auto"/>
              <w:rPr>
                <w:rFonts w:ascii="Times New Roman" w:hAnsi="Times New Roman" w:cs="Times New Roman"/>
                <w:sz w:val="20"/>
                <w:szCs w:val="20"/>
              </w:rPr>
            </w:pPr>
            <w:r>
              <w:rPr>
                <w:rFonts w:ascii="Times New Roman" w:hAnsi="Times New Roman" w:cs="Times New Roman"/>
                <w:sz w:val="20"/>
                <w:szCs w:val="20"/>
              </w:rPr>
              <w:t>Old R34 through Giurgiulești village, bypass junctions, platform entrance.</w:t>
            </w:r>
          </w:p>
        </w:tc>
        <w:tc>
          <w:tcPr>
            <w:tcW w:w="691" w:type="pct"/>
          </w:tcPr>
          <w:p w14:paraId="24F758B7">
            <w:pPr>
              <w:spacing w:after="0" w:line="240" w:lineRule="auto"/>
              <w:rPr>
                <w:rFonts w:ascii="Times New Roman" w:hAnsi="Times New Roman" w:cs="Times New Roman"/>
                <w:sz w:val="20"/>
                <w:szCs w:val="20"/>
              </w:rPr>
            </w:pPr>
            <w:r>
              <w:rPr>
                <w:rFonts w:ascii="Times New Roman" w:hAnsi="Times New Roman" w:cs="Times New Roman"/>
                <w:sz w:val="20"/>
                <w:szCs w:val="20"/>
              </w:rPr>
              <w:t>Monthly traffic monitoring (counters/cameras), quarterly grievance review, resident surveys, enforcement records, SIMC meetings.</w:t>
            </w:r>
          </w:p>
        </w:tc>
        <w:tc>
          <w:tcPr>
            <w:tcW w:w="577" w:type="pct"/>
          </w:tcPr>
          <w:p w14:paraId="40133B2C">
            <w:pPr>
              <w:spacing w:after="0" w:line="240" w:lineRule="auto"/>
              <w:rPr>
                <w:rFonts w:ascii="Times New Roman" w:hAnsi="Times New Roman" w:cs="Times New Roman"/>
                <w:sz w:val="20"/>
                <w:szCs w:val="20"/>
              </w:rPr>
            </w:pPr>
            <w:r>
              <w:rPr>
                <w:rFonts w:ascii="Times New Roman" w:hAnsi="Times New Roman" w:cs="Times New Roman"/>
                <w:sz w:val="20"/>
                <w:szCs w:val="20"/>
              </w:rPr>
              <w:t>Upon bypass commissioning (2026 onward, continuous).</w:t>
            </w:r>
          </w:p>
        </w:tc>
        <w:tc>
          <w:tcPr>
            <w:tcW w:w="768" w:type="pct"/>
          </w:tcPr>
          <w:p w14:paraId="3CD1E6E5">
            <w:pPr>
              <w:spacing w:after="0" w:line="240" w:lineRule="auto"/>
              <w:rPr>
                <w:rFonts w:ascii="Times New Roman" w:hAnsi="Times New Roman" w:cs="Times New Roman"/>
                <w:sz w:val="20"/>
                <w:szCs w:val="20"/>
              </w:rPr>
            </w:pPr>
            <w:r>
              <w:rPr>
                <w:rFonts w:ascii="Times New Roman" w:hAnsi="Times New Roman" w:cs="Times New Roman"/>
                <w:sz w:val="20"/>
                <w:szCs w:val="20"/>
              </w:rPr>
              <w:t>Ensure trucks use bypass, reduce residual village traffic (&gt;80% reduction target), maintain community safety and satisfaction.</w:t>
            </w:r>
          </w:p>
        </w:tc>
        <w:tc>
          <w:tcPr>
            <w:tcW w:w="557" w:type="pct"/>
          </w:tcPr>
          <w:p w14:paraId="5B93A5D9">
            <w:pPr>
              <w:spacing w:after="0" w:line="240" w:lineRule="auto"/>
              <w:rPr>
                <w:rFonts w:ascii="Times New Roman" w:hAnsi="Times New Roman" w:cs="Times New Roman"/>
                <w:sz w:val="20"/>
                <w:szCs w:val="20"/>
              </w:rPr>
            </w:pPr>
            <w:r>
              <w:rPr>
                <w:rFonts w:ascii="Times New Roman" w:hAnsi="Times New Roman" w:cs="Times New Roman"/>
                <w:sz w:val="20"/>
                <w:szCs w:val="20"/>
              </w:rPr>
              <w:t>Included in operational budget</w:t>
            </w:r>
          </w:p>
        </w:tc>
        <w:tc>
          <w:tcPr>
            <w:tcW w:w="755" w:type="pct"/>
          </w:tcPr>
          <w:p w14:paraId="4A4E5AAF">
            <w:pPr>
              <w:spacing w:after="0" w:line="240" w:lineRule="auto"/>
              <w:rPr>
                <w:rFonts w:ascii="Times New Roman" w:hAnsi="Times New Roman" w:cs="Times New Roman"/>
                <w:sz w:val="20"/>
                <w:szCs w:val="20"/>
              </w:rPr>
            </w:pPr>
            <w:r>
              <w:rPr>
                <w:rFonts w:ascii="Times New Roman" w:hAnsi="Times New Roman" w:cs="Times New Roman"/>
                <w:sz w:val="20"/>
                <w:szCs w:val="20"/>
              </w:rPr>
              <w:t>MCS (platform operations/queuing system), NRA (signage/regulations), Local Police (enforcement), LPA (liaison, SIMC)</w:t>
            </w:r>
          </w:p>
        </w:tc>
      </w:tr>
      <w:tr w14:paraId="51EA4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330A30C3">
            <w:pPr>
              <w:spacing w:after="0" w:line="240" w:lineRule="auto"/>
              <w:rPr>
                <w:rFonts w:ascii="Times New Roman" w:hAnsi="Times New Roman" w:cs="Times New Roman"/>
                <w:sz w:val="20"/>
                <w:szCs w:val="20"/>
              </w:rPr>
            </w:pPr>
            <w:r>
              <w:rPr>
                <w:rFonts w:ascii="Times New Roman" w:hAnsi="Times New Roman" w:cs="Times New Roman"/>
                <w:sz w:val="20"/>
                <w:szCs w:val="20"/>
              </w:rPr>
              <w:t>Operation</w:t>
            </w:r>
          </w:p>
        </w:tc>
        <w:tc>
          <w:tcPr>
            <w:tcW w:w="671" w:type="pct"/>
          </w:tcPr>
          <w:p w14:paraId="28FD665C">
            <w:pPr>
              <w:spacing w:after="0" w:line="240" w:lineRule="auto"/>
              <w:rPr>
                <w:rFonts w:ascii="Times New Roman" w:hAnsi="Times New Roman" w:cs="Times New Roman"/>
                <w:sz w:val="20"/>
                <w:szCs w:val="20"/>
              </w:rPr>
            </w:pPr>
            <w:r>
              <w:rPr>
                <w:rFonts w:ascii="Times New Roman" w:hAnsi="Times New Roman" w:cs="Times New Roman"/>
                <w:sz w:val="20"/>
                <w:szCs w:val="20"/>
              </w:rPr>
              <w:t>Stormwater and surface water condition, sanitation facility maintenance, community satisfaction</w:t>
            </w:r>
          </w:p>
        </w:tc>
        <w:tc>
          <w:tcPr>
            <w:tcW w:w="490" w:type="pct"/>
          </w:tcPr>
          <w:p w14:paraId="1C4C8FC5">
            <w:pPr>
              <w:spacing w:after="0" w:line="240" w:lineRule="auto"/>
              <w:rPr>
                <w:rFonts w:ascii="Times New Roman" w:hAnsi="Times New Roman" w:cs="Times New Roman"/>
                <w:sz w:val="20"/>
                <w:szCs w:val="20"/>
              </w:rPr>
            </w:pPr>
            <w:r>
              <w:rPr>
                <w:rFonts w:ascii="Times New Roman" w:hAnsi="Times New Roman" w:cs="Times New Roman"/>
                <w:sz w:val="20"/>
                <w:szCs w:val="20"/>
              </w:rPr>
              <w:t>Platform site and surrounding drainage areas</w:t>
            </w:r>
          </w:p>
        </w:tc>
        <w:tc>
          <w:tcPr>
            <w:tcW w:w="691" w:type="pct"/>
          </w:tcPr>
          <w:p w14:paraId="403442D2">
            <w:pPr>
              <w:spacing w:after="0" w:line="240" w:lineRule="auto"/>
              <w:rPr>
                <w:rFonts w:ascii="Times New Roman" w:hAnsi="Times New Roman" w:cs="Times New Roman"/>
                <w:sz w:val="20"/>
                <w:szCs w:val="20"/>
              </w:rPr>
            </w:pPr>
            <w:r>
              <w:rPr>
                <w:rFonts w:ascii="Times New Roman" w:hAnsi="Times New Roman" w:cs="Times New Roman"/>
                <w:sz w:val="20"/>
                <w:szCs w:val="20"/>
              </w:rPr>
              <w:t>Inspections, user surveys, feedback forms</w:t>
            </w:r>
          </w:p>
        </w:tc>
        <w:tc>
          <w:tcPr>
            <w:tcW w:w="577" w:type="pct"/>
          </w:tcPr>
          <w:p w14:paraId="2FF44C5B">
            <w:pPr>
              <w:spacing w:after="0" w:line="240" w:lineRule="auto"/>
              <w:rPr>
                <w:rFonts w:ascii="Times New Roman" w:hAnsi="Times New Roman" w:cs="Times New Roman"/>
                <w:sz w:val="20"/>
                <w:szCs w:val="20"/>
              </w:rPr>
            </w:pPr>
            <w:r>
              <w:rPr>
                <w:rFonts w:ascii="Times New Roman" w:hAnsi="Times New Roman" w:cs="Times New Roman"/>
                <w:sz w:val="20"/>
                <w:szCs w:val="20"/>
              </w:rPr>
              <w:t>Quarterly for water/drainage, Monthly for sanitation, Annually for feedback</w:t>
            </w:r>
          </w:p>
        </w:tc>
        <w:tc>
          <w:tcPr>
            <w:tcW w:w="768" w:type="pct"/>
          </w:tcPr>
          <w:p w14:paraId="4A21FF46">
            <w:pPr>
              <w:spacing w:after="0" w:line="240" w:lineRule="auto"/>
              <w:rPr>
                <w:rFonts w:ascii="Times New Roman" w:hAnsi="Times New Roman" w:cs="Times New Roman"/>
                <w:sz w:val="20"/>
                <w:szCs w:val="20"/>
              </w:rPr>
            </w:pPr>
            <w:r>
              <w:rPr>
                <w:rFonts w:ascii="Times New Roman" w:hAnsi="Times New Roman" w:cs="Times New Roman"/>
                <w:sz w:val="20"/>
                <w:szCs w:val="20"/>
              </w:rPr>
              <w:t>Ensure safe operation, user well-being, ongoing stakeholder engagement</w:t>
            </w:r>
          </w:p>
        </w:tc>
        <w:tc>
          <w:tcPr>
            <w:tcW w:w="557" w:type="pct"/>
          </w:tcPr>
          <w:p w14:paraId="154AED75">
            <w:pPr>
              <w:spacing w:after="0" w:line="240" w:lineRule="auto"/>
              <w:rPr>
                <w:rFonts w:ascii="Times New Roman" w:hAnsi="Times New Roman" w:cs="Times New Roman"/>
                <w:sz w:val="20"/>
                <w:szCs w:val="20"/>
              </w:rPr>
            </w:pPr>
            <w:r>
              <w:rPr>
                <w:rFonts w:ascii="Times New Roman" w:hAnsi="Times New Roman" w:cs="Times New Roman"/>
                <w:sz w:val="20"/>
                <w:szCs w:val="20"/>
              </w:rPr>
              <w:t>Operational costs</w:t>
            </w:r>
          </w:p>
        </w:tc>
        <w:tc>
          <w:tcPr>
            <w:tcW w:w="755" w:type="pct"/>
          </w:tcPr>
          <w:p w14:paraId="768470DA">
            <w:pPr>
              <w:spacing w:after="0" w:line="240" w:lineRule="auto"/>
              <w:rPr>
                <w:rFonts w:ascii="Times New Roman" w:hAnsi="Times New Roman" w:cs="Times New Roman"/>
                <w:sz w:val="20"/>
                <w:szCs w:val="20"/>
              </w:rPr>
            </w:pPr>
            <w:r>
              <w:rPr>
                <w:rFonts w:ascii="Times New Roman" w:hAnsi="Times New Roman" w:cs="Times New Roman"/>
                <w:sz w:val="20"/>
                <w:szCs w:val="20"/>
              </w:rPr>
              <w:t>Customs Service, Facility Operator</w:t>
            </w:r>
          </w:p>
        </w:tc>
      </w:tr>
      <w:tr w14:paraId="223FD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0" w:type="pct"/>
          </w:tcPr>
          <w:p w14:paraId="230F746D">
            <w:pPr>
              <w:spacing w:after="0" w:line="240" w:lineRule="auto"/>
              <w:rPr>
                <w:rFonts w:ascii="Times New Roman" w:hAnsi="Times New Roman" w:cs="Times New Roman"/>
                <w:sz w:val="20"/>
                <w:szCs w:val="20"/>
              </w:rPr>
            </w:pPr>
            <w:r>
              <w:rPr>
                <w:rFonts w:ascii="Times New Roman" w:hAnsi="Times New Roman" w:cs="Times New Roman"/>
                <w:sz w:val="20"/>
                <w:szCs w:val="20"/>
              </w:rPr>
              <w:t>Operation</w:t>
            </w:r>
          </w:p>
        </w:tc>
        <w:tc>
          <w:tcPr>
            <w:tcW w:w="671" w:type="pct"/>
          </w:tcPr>
          <w:p w14:paraId="22F247AD">
            <w:pPr>
              <w:spacing w:after="0" w:line="240" w:lineRule="auto"/>
              <w:rPr>
                <w:rFonts w:ascii="Times New Roman" w:hAnsi="Times New Roman" w:cs="Times New Roman"/>
                <w:sz w:val="20"/>
                <w:szCs w:val="20"/>
              </w:rPr>
            </w:pPr>
            <w:r>
              <w:rPr>
                <w:rFonts w:ascii="Times New Roman" w:hAnsi="Times New Roman" w:cs="Times New Roman"/>
                <w:sz w:val="20"/>
                <w:szCs w:val="20"/>
              </w:rPr>
              <w:t>Grievances received/resolved, community feedback on platform performance</w:t>
            </w:r>
          </w:p>
        </w:tc>
        <w:tc>
          <w:tcPr>
            <w:tcW w:w="490" w:type="pct"/>
          </w:tcPr>
          <w:p w14:paraId="43B475AA">
            <w:pPr>
              <w:spacing w:after="0" w:line="240" w:lineRule="auto"/>
              <w:rPr>
                <w:rFonts w:ascii="Times New Roman" w:hAnsi="Times New Roman" w:cs="Times New Roman"/>
                <w:sz w:val="20"/>
                <w:szCs w:val="20"/>
              </w:rPr>
            </w:pPr>
            <w:r>
              <w:rPr>
                <w:rFonts w:ascii="Times New Roman" w:hAnsi="Times New Roman" w:cs="Times New Roman"/>
                <w:sz w:val="20"/>
                <w:szCs w:val="20"/>
              </w:rPr>
              <w:t>Community, PIU grievance registry</w:t>
            </w:r>
          </w:p>
        </w:tc>
        <w:tc>
          <w:tcPr>
            <w:tcW w:w="691" w:type="pct"/>
          </w:tcPr>
          <w:p w14:paraId="7D12CEF9">
            <w:pPr>
              <w:spacing w:after="0" w:line="240" w:lineRule="auto"/>
              <w:rPr>
                <w:rFonts w:ascii="Times New Roman" w:hAnsi="Times New Roman" w:cs="Times New Roman"/>
                <w:sz w:val="20"/>
                <w:szCs w:val="20"/>
              </w:rPr>
            </w:pPr>
            <w:r>
              <w:rPr>
                <w:rFonts w:ascii="Times New Roman" w:hAnsi="Times New Roman" w:cs="Times New Roman"/>
                <w:sz w:val="20"/>
                <w:szCs w:val="20"/>
              </w:rPr>
              <w:t>Log review, meetings, feedback forms</w:t>
            </w:r>
          </w:p>
        </w:tc>
        <w:tc>
          <w:tcPr>
            <w:tcW w:w="577" w:type="pct"/>
          </w:tcPr>
          <w:p w14:paraId="559B2CF4">
            <w:pPr>
              <w:spacing w:after="0" w:line="240" w:lineRule="auto"/>
              <w:rPr>
                <w:rFonts w:ascii="Times New Roman" w:hAnsi="Times New Roman" w:cs="Times New Roman"/>
                <w:sz w:val="20"/>
                <w:szCs w:val="20"/>
              </w:rPr>
            </w:pPr>
            <w:r>
              <w:rPr>
                <w:rFonts w:ascii="Times New Roman" w:hAnsi="Times New Roman" w:cs="Times New Roman"/>
                <w:sz w:val="20"/>
                <w:szCs w:val="20"/>
              </w:rPr>
              <w:t>Monthly (grievances), Annually (engagement)</w:t>
            </w:r>
          </w:p>
        </w:tc>
        <w:tc>
          <w:tcPr>
            <w:tcW w:w="768" w:type="pct"/>
          </w:tcPr>
          <w:p w14:paraId="3D186847">
            <w:pPr>
              <w:spacing w:after="0" w:line="240" w:lineRule="auto"/>
              <w:rPr>
                <w:rFonts w:ascii="Times New Roman" w:hAnsi="Times New Roman" w:cs="Times New Roman"/>
                <w:sz w:val="20"/>
                <w:szCs w:val="20"/>
              </w:rPr>
            </w:pPr>
            <w:r>
              <w:rPr>
                <w:rFonts w:ascii="Times New Roman" w:hAnsi="Times New Roman" w:cs="Times New Roman"/>
                <w:sz w:val="20"/>
                <w:szCs w:val="20"/>
              </w:rPr>
              <w:t>Address community concerns, ensure responsive service</w:t>
            </w:r>
          </w:p>
        </w:tc>
        <w:tc>
          <w:tcPr>
            <w:tcW w:w="557" w:type="pct"/>
          </w:tcPr>
          <w:p w14:paraId="6C654B40">
            <w:pPr>
              <w:spacing w:after="0" w:line="240" w:lineRule="auto"/>
              <w:rPr>
                <w:rFonts w:ascii="Times New Roman" w:hAnsi="Times New Roman" w:cs="Times New Roman"/>
                <w:sz w:val="20"/>
                <w:szCs w:val="20"/>
              </w:rPr>
            </w:pPr>
            <w:r>
              <w:rPr>
                <w:rFonts w:ascii="Times New Roman" w:hAnsi="Times New Roman" w:cs="Times New Roman"/>
                <w:sz w:val="20"/>
                <w:szCs w:val="20"/>
              </w:rPr>
              <w:t>Included in operational budget</w:t>
            </w:r>
          </w:p>
        </w:tc>
        <w:tc>
          <w:tcPr>
            <w:tcW w:w="755" w:type="pct"/>
          </w:tcPr>
          <w:p w14:paraId="0504BFD4">
            <w:pPr>
              <w:spacing w:after="0" w:line="240" w:lineRule="auto"/>
              <w:rPr>
                <w:rFonts w:ascii="Times New Roman" w:hAnsi="Times New Roman" w:cs="Times New Roman"/>
                <w:sz w:val="20"/>
                <w:szCs w:val="20"/>
              </w:rPr>
            </w:pPr>
            <w:r>
              <w:rPr>
                <w:rFonts w:ascii="Times New Roman" w:hAnsi="Times New Roman" w:cs="Times New Roman"/>
                <w:sz w:val="20"/>
                <w:szCs w:val="20"/>
              </w:rPr>
              <w:t>PIU, Customs Service, Social Consultant</w:t>
            </w:r>
          </w:p>
        </w:tc>
      </w:tr>
    </w:tbl>
    <w:p w14:paraId="1A9D63EB">
      <w:pPr>
        <w:autoSpaceDE w:val="0"/>
        <w:autoSpaceDN w:val="0"/>
        <w:adjustRightInd w:val="0"/>
        <w:spacing w:after="0" w:line="276" w:lineRule="auto"/>
        <w:jc w:val="both"/>
        <w:rPr>
          <w:rFonts w:ascii="Times New Roman" w:hAnsi="Times New Roman" w:cs="Times New Roman"/>
          <w:color w:val="000000"/>
        </w:rPr>
      </w:pPr>
    </w:p>
    <w:p w14:paraId="46ED44AE">
      <w:pPr>
        <w:autoSpaceDE w:val="0"/>
        <w:autoSpaceDN w:val="0"/>
        <w:adjustRightInd w:val="0"/>
        <w:spacing w:after="0" w:line="276" w:lineRule="auto"/>
        <w:jc w:val="both"/>
        <w:rPr>
          <w:rFonts w:ascii="Times New Roman" w:hAnsi="Times New Roman" w:cs="Times New Roman"/>
          <w:color w:val="000000"/>
        </w:rPr>
      </w:pPr>
    </w:p>
    <w:p w14:paraId="6AE4E3EC">
      <w:pPr>
        <w:autoSpaceDE w:val="0"/>
        <w:autoSpaceDN w:val="0"/>
        <w:adjustRightInd w:val="0"/>
        <w:spacing w:after="0" w:line="276" w:lineRule="auto"/>
        <w:jc w:val="both"/>
        <w:rPr>
          <w:rFonts w:ascii="Times New Roman" w:hAnsi="Times New Roman" w:cs="Times New Roman"/>
          <w:color w:val="000000"/>
        </w:rPr>
        <w:sectPr>
          <w:pgSz w:w="15840" w:h="12240" w:orient="landscape"/>
          <w:pgMar w:top="1440" w:right="1440" w:bottom="1440" w:left="1440" w:header="720" w:footer="720" w:gutter="0"/>
          <w:cols w:space="720" w:num="1"/>
          <w:docGrid w:linePitch="360" w:charSpace="0"/>
        </w:sectPr>
      </w:pPr>
    </w:p>
    <w:p w14:paraId="108D91F7">
      <w:pPr>
        <w:autoSpaceDE w:val="0"/>
        <w:autoSpaceDN w:val="0"/>
        <w:adjustRightInd w:val="0"/>
        <w:spacing w:after="0" w:line="276" w:lineRule="auto"/>
        <w:jc w:val="both"/>
        <w:rPr>
          <w:rFonts w:ascii="Times New Roman" w:hAnsi="Times New Roman" w:cs="Times New Roman"/>
          <w:b/>
          <w:bCs/>
          <w:color w:val="000000"/>
        </w:rPr>
      </w:pPr>
      <w:r>
        <w:rPr>
          <w:rFonts w:ascii="Times New Roman" w:hAnsi="Times New Roman" w:cs="Times New Roman"/>
          <w:b/>
          <w:bCs/>
          <w:color w:val="000000"/>
        </w:rPr>
        <w:t xml:space="preserve">Annex1 </w:t>
      </w:r>
    </w:p>
    <w:p w14:paraId="368C9DA6">
      <w:pPr>
        <w:autoSpaceDE w:val="0"/>
        <w:autoSpaceDN w:val="0"/>
        <w:adjustRightInd w:val="0"/>
        <w:spacing w:after="0" w:line="276" w:lineRule="auto"/>
        <w:jc w:val="both"/>
        <w:rPr>
          <w:rFonts w:ascii="Times New Roman" w:hAnsi="Times New Roman" w:cs="Times New Roman"/>
          <w:color w:val="000000"/>
        </w:rPr>
      </w:pPr>
    </w:p>
    <w:p w14:paraId="28687AB8">
      <w:pPr>
        <w:autoSpaceDE w:val="0"/>
        <w:autoSpaceDN w:val="0"/>
        <w:adjustRightInd w:val="0"/>
        <w:spacing w:after="0" w:line="276" w:lineRule="auto"/>
        <w:jc w:val="both"/>
        <w:rPr>
          <w:rFonts w:ascii="Times New Roman" w:hAnsi="Times New Roman" w:cs="Times New Roman"/>
          <w:color w:val="000000"/>
        </w:rPr>
      </w:pPr>
      <w:r>
        <w:rPr>
          <w:rFonts w:ascii="Times New Roman" w:hAnsi="Times New Roman" w:cs="Times New Roman"/>
          <w:color w:val="000000"/>
        </w:rPr>
        <w:t xml:space="preserve">Minutes of Meetings Draft Preliminary ESIA </w:t>
      </w:r>
    </w:p>
    <w:p w14:paraId="10479C2F">
      <w:pPr>
        <w:autoSpaceDE w:val="0"/>
        <w:autoSpaceDN w:val="0"/>
        <w:adjustRightInd w:val="0"/>
        <w:spacing w:after="0" w:line="276" w:lineRule="auto"/>
        <w:jc w:val="both"/>
        <w:rPr>
          <w:rFonts w:ascii="Times New Roman" w:hAnsi="Times New Roman" w:cs="Times New Roman"/>
          <w:color w:val="000000"/>
        </w:rPr>
      </w:pPr>
    </w:p>
    <w:p w14:paraId="65D491A4">
      <w:pPr>
        <w:spacing w:line="276" w:lineRule="auto"/>
        <w:jc w:val="center"/>
        <w:rPr>
          <w:rFonts w:ascii="Times New Roman" w:hAnsi="Times New Roman" w:cs="Times New Roman"/>
          <w:b/>
        </w:rPr>
      </w:pPr>
      <w:r>
        <w:rPr>
          <w:rFonts w:ascii="Times New Roman" w:hAnsi="Times New Roman" w:cs="Times New Roman"/>
          <w:b/>
        </w:rPr>
        <w:t>Minutes of meeting</w:t>
      </w:r>
    </w:p>
    <w:p w14:paraId="26E428F5">
      <w:pPr>
        <w:spacing w:line="276" w:lineRule="auto"/>
        <w:jc w:val="center"/>
        <w:rPr>
          <w:rFonts w:ascii="Times New Roman" w:hAnsi="Times New Roman" w:cs="Times New Roman"/>
          <w:b/>
        </w:rPr>
      </w:pPr>
      <w:r>
        <w:rPr>
          <w:rFonts w:ascii="Times New Roman" w:hAnsi="Times New Roman" w:cs="Times New Roman"/>
          <w:b/>
        </w:rPr>
        <w:t xml:space="preserve">Public consultations for </w:t>
      </w:r>
    </w:p>
    <w:p w14:paraId="1A03F375">
      <w:pPr>
        <w:spacing w:line="276" w:lineRule="auto"/>
        <w:jc w:val="center"/>
        <w:rPr>
          <w:rFonts w:ascii="Times New Roman" w:hAnsi="Times New Roman" w:cs="Times New Roman"/>
          <w:b/>
        </w:rPr>
      </w:pPr>
      <w:r>
        <w:rPr>
          <w:rFonts w:ascii="Times New Roman" w:hAnsi="Times New Roman" w:cs="Times New Roman"/>
          <w:b/>
          <w:bCs/>
        </w:rPr>
        <w:t>SEP, RPF, LMP and</w:t>
      </w:r>
      <w:r>
        <w:rPr>
          <w:rFonts w:ascii="Times New Roman" w:hAnsi="Times New Roman" w:cs="Times New Roman"/>
          <w:b/>
        </w:rPr>
        <w:t xml:space="preserve"> Preliminary Environmental &amp; Social Impact Assessment for BCP and access roads</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
        <w:gridCol w:w="2014"/>
        <w:gridCol w:w="2275"/>
        <w:gridCol w:w="397"/>
        <w:gridCol w:w="1687"/>
        <w:gridCol w:w="983"/>
        <w:gridCol w:w="845"/>
        <w:gridCol w:w="770"/>
      </w:tblGrid>
      <w:tr w14:paraId="36B72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49F88AD">
            <w:pPr>
              <w:spacing w:after="0" w:line="276" w:lineRule="auto"/>
              <w:rPr>
                <w:rFonts w:ascii="Times New Roman" w:hAnsi="Times New Roman" w:cs="Times New Roman"/>
                <w:b/>
                <w:i/>
              </w:rPr>
            </w:pPr>
          </w:p>
        </w:tc>
        <w:tc>
          <w:tcPr>
            <w:tcW w:w="2014" w:type="dxa"/>
          </w:tcPr>
          <w:p w14:paraId="174B1F08">
            <w:pPr>
              <w:spacing w:after="0" w:line="276" w:lineRule="auto"/>
              <w:rPr>
                <w:rFonts w:ascii="Times New Roman" w:hAnsi="Times New Roman" w:cs="Times New Roman"/>
                <w:b/>
                <w:i/>
              </w:rPr>
            </w:pPr>
            <w:r>
              <w:rPr>
                <w:rFonts w:ascii="Times New Roman" w:hAnsi="Times New Roman" w:cs="Times New Roman"/>
                <w:b/>
                <w:i/>
              </w:rPr>
              <w:t xml:space="preserve">Date </w:t>
            </w:r>
          </w:p>
        </w:tc>
        <w:tc>
          <w:tcPr>
            <w:tcW w:w="2275" w:type="dxa"/>
            <w:tcBorders>
              <w:right w:val="single" w:color="auto" w:sz="4" w:space="0"/>
            </w:tcBorders>
          </w:tcPr>
          <w:p w14:paraId="37F222A4">
            <w:pPr>
              <w:spacing w:after="0" w:line="276" w:lineRule="auto"/>
              <w:rPr>
                <w:rFonts w:ascii="Times New Roman" w:hAnsi="Times New Roman" w:cs="Times New Roman"/>
              </w:rPr>
            </w:pPr>
            <w:r>
              <w:rPr>
                <w:rFonts w:ascii="Times New Roman" w:hAnsi="Times New Roman" w:cs="Times New Roman"/>
              </w:rPr>
              <w:t>31.01.2024</w:t>
            </w:r>
          </w:p>
        </w:tc>
        <w:tc>
          <w:tcPr>
            <w:tcW w:w="397" w:type="dxa"/>
            <w:tcBorders>
              <w:top w:val="nil"/>
              <w:left w:val="single" w:color="auto" w:sz="4" w:space="0"/>
              <w:bottom w:val="nil"/>
              <w:right w:val="nil"/>
            </w:tcBorders>
          </w:tcPr>
          <w:p w14:paraId="5F27B1E9">
            <w:pPr>
              <w:spacing w:after="0" w:line="276" w:lineRule="auto"/>
              <w:rPr>
                <w:rFonts w:ascii="Times New Roman" w:hAnsi="Times New Roman" w:cs="Times New Roman"/>
              </w:rPr>
            </w:pPr>
          </w:p>
        </w:tc>
        <w:tc>
          <w:tcPr>
            <w:tcW w:w="1687" w:type="dxa"/>
            <w:tcBorders>
              <w:top w:val="nil"/>
              <w:left w:val="nil"/>
              <w:bottom w:val="nil"/>
              <w:right w:val="nil"/>
            </w:tcBorders>
          </w:tcPr>
          <w:p w14:paraId="10E12AAA">
            <w:pPr>
              <w:spacing w:after="0" w:line="276" w:lineRule="auto"/>
              <w:rPr>
                <w:rFonts w:ascii="Times New Roman" w:hAnsi="Times New Roman" w:cs="Times New Roman"/>
              </w:rPr>
            </w:pPr>
          </w:p>
        </w:tc>
        <w:tc>
          <w:tcPr>
            <w:tcW w:w="983" w:type="dxa"/>
            <w:tcBorders>
              <w:top w:val="nil"/>
              <w:left w:val="nil"/>
              <w:bottom w:val="nil"/>
              <w:right w:val="nil"/>
            </w:tcBorders>
          </w:tcPr>
          <w:p w14:paraId="292E6844">
            <w:pPr>
              <w:spacing w:after="0" w:line="276" w:lineRule="auto"/>
              <w:rPr>
                <w:rFonts w:ascii="Times New Roman" w:hAnsi="Times New Roman" w:cs="Times New Roman"/>
              </w:rPr>
            </w:pPr>
          </w:p>
        </w:tc>
        <w:tc>
          <w:tcPr>
            <w:tcW w:w="845" w:type="dxa"/>
            <w:tcBorders>
              <w:top w:val="nil"/>
              <w:left w:val="nil"/>
              <w:bottom w:val="nil"/>
              <w:right w:val="nil"/>
            </w:tcBorders>
          </w:tcPr>
          <w:p w14:paraId="7462CE7E">
            <w:pPr>
              <w:spacing w:after="0" w:line="276" w:lineRule="auto"/>
              <w:rPr>
                <w:rFonts w:ascii="Times New Roman" w:hAnsi="Times New Roman" w:cs="Times New Roman"/>
              </w:rPr>
            </w:pPr>
          </w:p>
        </w:tc>
        <w:tc>
          <w:tcPr>
            <w:tcW w:w="770" w:type="dxa"/>
            <w:tcBorders>
              <w:top w:val="nil"/>
              <w:left w:val="nil"/>
              <w:bottom w:val="nil"/>
              <w:right w:val="nil"/>
            </w:tcBorders>
          </w:tcPr>
          <w:p w14:paraId="0D98B728">
            <w:pPr>
              <w:spacing w:after="0" w:line="276" w:lineRule="auto"/>
              <w:rPr>
                <w:rFonts w:ascii="Times New Roman" w:hAnsi="Times New Roman" w:cs="Times New Roman"/>
              </w:rPr>
            </w:pPr>
          </w:p>
        </w:tc>
      </w:tr>
      <w:tr w14:paraId="2A243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B10055E">
            <w:pPr>
              <w:spacing w:after="0" w:line="276" w:lineRule="auto"/>
              <w:rPr>
                <w:rFonts w:ascii="Times New Roman" w:hAnsi="Times New Roman" w:cs="Times New Roman"/>
                <w:b/>
                <w:i/>
              </w:rPr>
            </w:pPr>
          </w:p>
        </w:tc>
        <w:tc>
          <w:tcPr>
            <w:tcW w:w="2014" w:type="dxa"/>
          </w:tcPr>
          <w:p w14:paraId="20AAB141">
            <w:pPr>
              <w:spacing w:after="0" w:line="276" w:lineRule="auto"/>
              <w:rPr>
                <w:rFonts w:ascii="Times New Roman" w:hAnsi="Times New Roman" w:cs="Times New Roman"/>
                <w:b/>
                <w:i/>
              </w:rPr>
            </w:pPr>
            <w:r>
              <w:rPr>
                <w:rFonts w:ascii="Times New Roman" w:hAnsi="Times New Roman" w:cs="Times New Roman"/>
                <w:b/>
                <w:i/>
              </w:rPr>
              <w:t>Time</w:t>
            </w:r>
          </w:p>
        </w:tc>
        <w:tc>
          <w:tcPr>
            <w:tcW w:w="2275" w:type="dxa"/>
            <w:tcBorders>
              <w:right w:val="single" w:color="auto" w:sz="4" w:space="0"/>
            </w:tcBorders>
          </w:tcPr>
          <w:p w14:paraId="4F5ED6BD">
            <w:pPr>
              <w:spacing w:after="0" w:line="276" w:lineRule="auto"/>
              <w:rPr>
                <w:rFonts w:ascii="Times New Roman" w:hAnsi="Times New Roman" w:cs="Times New Roman"/>
              </w:rPr>
            </w:pPr>
            <w:r>
              <w:rPr>
                <w:rFonts w:ascii="Times New Roman" w:hAnsi="Times New Roman" w:cs="Times New Roman"/>
              </w:rPr>
              <w:t>12.20-13.20</w:t>
            </w:r>
          </w:p>
        </w:tc>
        <w:tc>
          <w:tcPr>
            <w:tcW w:w="397" w:type="dxa"/>
            <w:tcBorders>
              <w:top w:val="nil"/>
              <w:left w:val="single" w:color="auto" w:sz="4" w:space="0"/>
              <w:bottom w:val="nil"/>
              <w:right w:val="nil"/>
            </w:tcBorders>
          </w:tcPr>
          <w:p w14:paraId="0460FF7C">
            <w:pPr>
              <w:spacing w:after="0" w:line="276" w:lineRule="auto"/>
              <w:rPr>
                <w:rFonts w:ascii="Times New Roman" w:hAnsi="Times New Roman" w:cs="Times New Roman"/>
              </w:rPr>
            </w:pPr>
          </w:p>
        </w:tc>
        <w:tc>
          <w:tcPr>
            <w:tcW w:w="1687" w:type="dxa"/>
            <w:tcBorders>
              <w:top w:val="nil"/>
              <w:left w:val="nil"/>
              <w:bottom w:val="nil"/>
              <w:right w:val="nil"/>
            </w:tcBorders>
          </w:tcPr>
          <w:p w14:paraId="1835DDF7">
            <w:pPr>
              <w:spacing w:after="0" w:line="276" w:lineRule="auto"/>
              <w:rPr>
                <w:rFonts w:ascii="Times New Roman" w:hAnsi="Times New Roman" w:cs="Times New Roman"/>
              </w:rPr>
            </w:pPr>
          </w:p>
        </w:tc>
        <w:tc>
          <w:tcPr>
            <w:tcW w:w="983" w:type="dxa"/>
            <w:tcBorders>
              <w:top w:val="nil"/>
              <w:left w:val="nil"/>
              <w:bottom w:val="nil"/>
              <w:right w:val="nil"/>
            </w:tcBorders>
          </w:tcPr>
          <w:p w14:paraId="6590FCC2">
            <w:pPr>
              <w:spacing w:after="0" w:line="276" w:lineRule="auto"/>
              <w:rPr>
                <w:rFonts w:ascii="Times New Roman" w:hAnsi="Times New Roman" w:cs="Times New Roman"/>
              </w:rPr>
            </w:pPr>
          </w:p>
        </w:tc>
        <w:tc>
          <w:tcPr>
            <w:tcW w:w="845" w:type="dxa"/>
            <w:tcBorders>
              <w:top w:val="nil"/>
              <w:left w:val="nil"/>
              <w:bottom w:val="nil"/>
              <w:right w:val="nil"/>
            </w:tcBorders>
          </w:tcPr>
          <w:p w14:paraId="063D88E1">
            <w:pPr>
              <w:spacing w:after="0" w:line="276" w:lineRule="auto"/>
              <w:rPr>
                <w:rFonts w:ascii="Times New Roman" w:hAnsi="Times New Roman" w:cs="Times New Roman"/>
              </w:rPr>
            </w:pPr>
          </w:p>
        </w:tc>
        <w:tc>
          <w:tcPr>
            <w:tcW w:w="770" w:type="dxa"/>
            <w:tcBorders>
              <w:top w:val="nil"/>
              <w:left w:val="nil"/>
              <w:bottom w:val="nil"/>
              <w:right w:val="nil"/>
            </w:tcBorders>
          </w:tcPr>
          <w:p w14:paraId="01B8D085">
            <w:pPr>
              <w:spacing w:after="0" w:line="276" w:lineRule="auto"/>
              <w:rPr>
                <w:rFonts w:ascii="Times New Roman" w:hAnsi="Times New Roman" w:cs="Times New Roman"/>
              </w:rPr>
            </w:pPr>
          </w:p>
        </w:tc>
      </w:tr>
      <w:tr w14:paraId="4705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B0419FF">
            <w:pPr>
              <w:spacing w:after="0" w:line="276" w:lineRule="auto"/>
              <w:rPr>
                <w:rFonts w:ascii="Times New Roman" w:hAnsi="Times New Roman" w:cs="Times New Roman"/>
                <w:b/>
                <w:i/>
              </w:rPr>
            </w:pPr>
          </w:p>
        </w:tc>
        <w:tc>
          <w:tcPr>
            <w:tcW w:w="2014" w:type="dxa"/>
          </w:tcPr>
          <w:p w14:paraId="77662360">
            <w:pPr>
              <w:spacing w:after="0" w:line="276" w:lineRule="auto"/>
              <w:rPr>
                <w:rFonts w:ascii="Times New Roman" w:hAnsi="Times New Roman" w:cs="Times New Roman"/>
                <w:b/>
                <w:i/>
              </w:rPr>
            </w:pPr>
            <w:r>
              <w:rPr>
                <w:rFonts w:ascii="Times New Roman" w:hAnsi="Times New Roman" w:cs="Times New Roman"/>
                <w:b/>
                <w:i/>
              </w:rPr>
              <w:t>Location</w:t>
            </w:r>
          </w:p>
        </w:tc>
        <w:tc>
          <w:tcPr>
            <w:tcW w:w="6957" w:type="dxa"/>
            <w:gridSpan w:val="6"/>
            <w:tcBorders>
              <w:right w:val="single" w:color="auto" w:sz="4" w:space="0"/>
            </w:tcBorders>
            <w:shd w:val="clear" w:color="auto" w:fill="FFFFFF" w:themeFill="background1"/>
          </w:tcPr>
          <w:p w14:paraId="24680E9E">
            <w:pPr>
              <w:spacing w:after="0" w:line="276" w:lineRule="auto"/>
              <w:rPr>
                <w:rFonts w:ascii="Times New Roman" w:hAnsi="Times New Roman" w:cs="Times New Roman"/>
                <w:shd w:val="clear" w:color="auto" w:fill="FFFFFF"/>
              </w:rPr>
            </w:pPr>
            <w:r>
              <w:rPr>
                <w:rFonts w:ascii="Times New Roman" w:hAnsi="Times New Roman" w:cs="Times New Roman"/>
                <w:b/>
                <w:shd w:val="clear" w:color="auto" w:fill="FFFFFF"/>
              </w:rPr>
              <w:t>Giurgiulesti  LPA premises</w:t>
            </w:r>
          </w:p>
        </w:tc>
      </w:tr>
      <w:tr w14:paraId="1A9E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37AE410C">
            <w:pPr>
              <w:spacing w:after="0" w:line="276" w:lineRule="auto"/>
              <w:rPr>
                <w:rFonts w:ascii="Times New Roman" w:hAnsi="Times New Roman" w:cs="Times New Roman"/>
                <w:b/>
                <w:i/>
              </w:rPr>
            </w:pPr>
          </w:p>
        </w:tc>
        <w:tc>
          <w:tcPr>
            <w:tcW w:w="2014" w:type="dxa"/>
          </w:tcPr>
          <w:p w14:paraId="330242C0">
            <w:pPr>
              <w:spacing w:after="0" w:line="276" w:lineRule="auto"/>
              <w:rPr>
                <w:rFonts w:ascii="Times New Roman" w:hAnsi="Times New Roman" w:cs="Times New Roman"/>
                <w:b/>
                <w:i/>
              </w:rPr>
            </w:pPr>
            <w:r>
              <w:rPr>
                <w:rFonts w:ascii="Times New Roman" w:hAnsi="Times New Roman" w:cs="Times New Roman"/>
                <w:b/>
                <w:i/>
              </w:rPr>
              <w:t>Consultants/ moderators</w:t>
            </w:r>
          </w:p>
        </w:tc>
        <w:tc>
          <w:tcPr>
            <w:tcW w:w="6957" w:type="dxa"/>
            <w:gridSpan w:val="6"/>
          </w:tcPr>
          <w:p w14:paraId="78C78DF9">
            <w:pPr>
              <w:spacing w:after="0" w:line="276" w:lineRule="auto"/>
              <w:rPr>
                <w:rFonts w:ascii="Times New Roman" w:hAnsi="Times New Roman" w:cs="Times New Roman"/>
              </w:rPr>
            </w:pPr>
            <w:r>
              <w:rPr>
                <w:rFonts w:ascii="Times New Roman" w:hAnsi="Times New Roman" w:cs="Times New Roman"/>
              </w:rPr>
              <w:t>Veaceslav Vladicescu</w:t>
            </w:r>
          </w:p>
        </w:tc>
      </w:tr>
      <w:tr w14:paraId="2BF3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CF78274">
            <w:pPr>
              <w:spacing w:after="0" w:line="276" w:lineRule="auto"/>
              <w:rPr>
                <w:rFonts w:ascii="Times New Roman" w:hAnsi="Times New Roman" w:cs="Times New Roman"/>
                <w:b/>
                <w:i/>
              </w:rPr>
            </w:pPr>
          </w:p>
        </w:tc>
        <w:tc>
          <w:tcPr>
            <w:tcW w:w="2014" w:type="dxa"/>
          </w:tcPr>
          <w:p w14:paraId="4E5483FE">
            <w:pPr>
              <w:spacing w:after="0" w:line="276" w:lineRule="auto"/>
              <w:rPr>
                <w:rFonts w:ascii="Times New Roman" w:hAnsi="Times New Roman" w:cs="Times New Roman"/>
                <w:b/>
                <w:i/>
              </w:rPr>
            </w:pPr>
            <w:r>
              <w:rPr>
                <w:rFonts w:ascii="Times New Roman" w:hAnsi="Times New Roman" w:cs="Times New Roman"/>
                <w:b/>
                <w:i/>
              </w:rPr>
              <w:t>No. of participants</w:t>
            </w:r>
          </w:p>
        </w:tc>
        <w:tc>
          <w:tcPr>
            <w:tcW w:w="6957" w:type="dxa"/>
            <w:gridSpan w:val="6"/>
            <w:tcBorders>
              <w:right w:val="single" w:color="auto" w:sz="4" w:space="0"/>
            </w:tcBorders>
          </w:tcPr>
          <w:p w14:paraId="1B5877AD">
            <w:pPr>
              <w:spacing w:after="0" w:line="276" w:lineRule="auto"/>
              <w:rPr>
                <w:rFonts w:ascii="Times New Roman" w:hAnsi="Times New Roman" w:cs="Times New Roman"/>
              </w:rPr>
            </w:pPr>
            <w:r>
              <w:rPr>
                <w:rFonts w:ascii="Times New Roman" w:hAnsi="Times New Roman" w:cs="Times New Roman"/>
                <w:b/>
                <w:bCs/>
              </w:rPr>
              <w:t>29</w:t>
            </w:r>
          </w:p>
        </w:tc>
      </w:tr>
      <w:tr w14:paraId="3C571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49F376B">
            <w:pPr>
              <w:spacing w:after="0" w:line="276" w:lineRule="auto"/>
              <w:rPr>
                <w:rFonts w:ascii="Times New Roman" w:hAnsi="Times New Roman" w:cs="Times New Roman"/>
                <w:b/>
                <w:i/>
              </w:rPr>
            </w:pPr>
          </w:p>
        </w:tc>
        <w:tc>
          <w:tcPr>
            <w:tcW w:w="2014" w:type="dxa"/>
          </w:tcPr>
          <w:p w14:paraId="2B1DEF9F">
            <w:pPr>
              <w:spacing w:after="0" w:line="276" w:lineRule="auto"/>
              <w:rPr>
                <w:rFonts w:ascii="Times New Roman" w:hAnsi="Times New Roman" w:cs="Times New Roman"/>
                <w:b/>
                <w:i/>
              </w:rPr>
            </w:pPr>
            <w:r>
              <w:rPr>
                <w:rFonts w:ascii="Times New Roman" w:hAnsi="Times New Roman" w:cs="Times New Roman"/>
                <w:b/>
                <w:i/>
              </w:rPr>
              <w:t>Topics presented by Consultant (inclusive PPT)</w:t>
            </w:r>
          </w:p>
        </w:tc>
        <w:tc>
          <w:tcPr>
            <w:tcW w:w="6957" w:type="dxa"/>
            <w:gridSpan w:val="6"/>
          </w:tcPr>
          <w:p w14:paraId="367E61E2">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General information about the purpose of E&amp;S package documentation (SEP, RPF, LMP, preliminary ESIA)</w:t>
            </w:r>
          </w:p>
          <w:p w14:paraId="297DDAA4">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General information about the proposed Project </w:t>
            </w:r>
          </w:p>
          <w:p w14:paraId="5C39A09D">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Detailed known elements of the project in the area of locality </w:t>
            </w:r>
          </w:p>
          <w:p w14:paraId="29D39B7A">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Next steps in the MRCP</w:t>
            </w:r>
          </w:p>
          <w:p w14:paraId="36005523">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Project’s positive involvement in the community through SIMCs</w:t>
            </w:r>
          </w:p>
          <w:p w14:paraId="45CEF3EF">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Specific identified possible impacts on the environment and population </w:t>
            </w:r>
          </w:p>
          <w:p w14:paraId="2F70F7F5">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Specific mitigation measures proposed. </w:t>
            </w:r>
          </w:p>
          <w:p w14:paraId="1BE54D92">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Grievances redress mechanism</w:t>
            </w:r>
          </w:p>
          <w:p w14:paraId="46DD8C2A">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Contact information of stakeholders (SRA, MIRD, MCS, MF, WB)</w:t>
            </w:r>
          </w:p>
        </w:tc>
      </w:tr>
      <w:tr w14:paraId="48F1F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73CBAB7B">
            <w:pPr>
              <w:spacing w:after="0" w:line="276" w:lineRule="auto"/>
              <w:rPr>
                <w:rFonts w:ascii="Times New Roman" w:hAnsi="Times New Roman" w:cs="Times New Roman"/>
                <w:b/>
                <w:i/>
              </w:rPr>
            </w:pPr>
          </w:p>
        </w:tc>
        <w:tc>
          <w:tcPr>
            <w:tcW w:w="4686" w:type="dxa"/>
            <w:gridSpan w:val="3"/>
          </w:tcPr>
          <w:p w14:paraId="677E7B87">
            <w:pPr>
              <w:spacing w:after="0" w:line="276" w:lineRule="auto"/>
              <w:rPr>
                <w:rFonts w:ascii="Times New Roman" w:hAnsi="Times New Roman" w:cs="Times New Roman"/>
                <w:b/>
                <w:i/>
              </w:rPr>
            </w:pPr>
            <w:r>
              <w:rPr>
                <w:rFonts w:ascii="Times New Roman" w:hAnsi="Times New Roman" w:cs="Times New Roman"/>
                <w:b/>
                <w:i/>
              </w:rPr>
              <w:t>The questions raised and/or received proposals from participants:</w:t>
            </w:r>
          </w:p>
        </w:tc>
        <w:tc>
          <w:tcPr>
            <w:tcW w:w="4285" w:type="dxa"/>
            <w:gridSpan w:val="4"/>
          </w:tcPr>
          <w:p w14:paraId="7A55CEF8">
            <w:pPr>
              <w:spacing w:after="0" w:line="276" w:lineRule="auto"/>
              <w:rPr>
                <w:rFonts w:ascii="Times New Roman" w:hAnsi="Times New Roman" w:cs="Times New Roman"/>
                <w:b/>
                <w:i/>
              </w:rPr>
            </w:pPr>
            <w:r>
              <w:rPr>
                <w:rFonts w:ascii="Times New Roman" w:hAnsi="Times New Roman" w:cs="Times New Roman"/>
                <w:b/>
                <w:i/>
              </w:rPr>
              <w:t>Answers/comments of moderators/consultants:</w:t>
            </w:r>
          </w:p>
        </w:tc>
      </w:tr>
      <w:tr w14:paraId="01EF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051C6B4B">
            <w:pPr>
              <w:spacing w:after="0" w:line="276" w:lineRule="auto"/>
              <w:jc w:val="both"/>
              <w:rPr>
                <w:rFonts w:ascii="Times New Roman" w:hAnsi="Times New Roman" w:cs="Times New Roman"/>
              </w:rPr>
            </w:pPr>
            <w:r>
              <w:rPr>
                <w:rFonts w:ascii="Times New Roman" w:hAnsi="Times New Roman" w:cs="Times New Roman"/>
              </w:rPr>
              <w:t>1</w:t>
            </w:r>
          </w:p>
        </w:tc>
        <w:tc>
          <w:tcPr>
            <w:tcW w:w="4686" w:type="dxa"/>
            <w:gridSpan w:val="3"/>
          </w:tcPr>
          <w:p w14:paraId="2E4CBCC4">
            <w:pPr>
              <w:spacing w:after="0" w:line="276" w:lineRule="auto"/>
              <w:jc w:val="both"/>
              <w:rPr>
                <w:rFonts w:ascii="Times New Roman" w:hAnsi="Times New Roman" w:cs="Times New Roman"/>
                <w:i/>
              </w:rPr>
            </w:pPr>
            <w:r>
              <w:rPr>
                <w:rFonts w:ascii="Times New Roman" w:hAnsi="Times New Roman" w:cs="Times New Roman"/>
                <w:i/>
              </w:rPr>
              <w:t>What equipment exactly is planned to be installed on the MCS platform?</w:t>
            </w:r>
          </w:p>
        </w:tc>
        <w:tc>
          <w:tcPr>
            <w:tcW w:w="4285" w:type="dxa"/>
            <w:gridSpan w:val="4"/>
          </w:tcPr>
          <w:p w14:paraId="50F27E99">
            <w:pPr>
              <w:spacing w:after="0" w:line="276" w:lineRule="auto"/>
              <w:jc w:val="both"/>
              <w:rPr>
                <w:rFonts w:ascii="Times New Roman" w:hAnsi="Times New Roman" w:cs="Times New Roman"/>
              </w:rPr>
            </w:pPr>
            <w:r>
              <w:rPr>
                <w:rFonts w:ascii="Times New Roman" w:hAnsi="Times New Roman" w:cs="Times New Roman"/>
              </w:rPr>
              <w:t xml:space="preserve">Provided the exhaustive list of types of equipment and works that will be done. All information is known at the moment. </w:t>
            </w:r>
          </w:p>
        </w:tc>
      </w:tr>
      <w:tr w14:paraId="51273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5F058EE9">
            <w:pPr>
              <w:spacing w:after="0" w:line="276" w:lineRule="auto"/>
              <w:jc w:val="both"/>
              <w:rPr>
                <w:rFonts w:ascii="Times New Roman" w:hAnsi="Times New Roman" w:cs="Times New Roman"/>
              </w:rPr>
            </w:pPr>
            <w:r>
              <w:rPr>
                <w:rFonts w:ascii="Times New Roman" w:hAnsi="Times New Roman" w:cs="Times New Roman"/>
              </w:rPr>
              <w:t>2</w:t>
            </w:r>
          </w:p>
        </w:tc>
        <w:tc>
          <w:tcPr>
            <w:tcW w:w="4686" w:type="dxa"/>
            <w:gridSpan w:val="3"/>
          </w:tcPr>
          <w:p w14:paraId="73487B60">
            <w:pPr>
              <w:spacing w:after="0" w:line="276" w:lineRule="auto"/>
              <w:jc w:val="both"/>
              <w:rPr>
                <w:rFonts w:ascii="Times New Roman" w:hAnsi="Times New Roman" w:cs="Times New Roman"/>
                <w:i/>
              </w:rPr>
            </w:pPr>
            <w:r>
              <w:rPr>
                <w:rFonts w:ascii="Times New Roman" w:hAnsi="Times New Roman" w:cs="Times New Roman"/>
                <w:i/>
              </w:rPr>
              <w:t xml:space="preserve">Why is not included in this WB project the construction of the bypass road of Giurgiulesti village (connection of road R34 with M3 approx. 4 km)?  </w:t>
            </w:r>
          </w:p>
        </w:tc>
        <w:tc>
          <w:tcPr>
            <w:tcW w:w="4285" w:type="dxa"/>
            <w:gridSpan w:val="4"/>
          </w:tcPr>
          <w:p w14:paraId="3EB216F3">
            <w:pPr>
              <w:spacing w:after="0" w:line="276" w:lineRule="auto"/>
              <w:jc w:val="both"/>
              <w:rPr>
                <w:rFonts w:ascii="Times New Roman" w:hAnsi="Times New Roman" w:cs="Times New Roman"/>
              </w:rPr>
            </w:pPr>
            <w:r>
              <w:rPr>
                <w:rFonts w:ascii="Times New Roman" w:hAnsi="Times New Roman" w:cs="Times New Roman"/>
              </w:rPr>
              <w:t xml:space="preserve">This bypass road is not the subject of this Project. GoM has to decide about approval of that construction and sources of finance. The MRCP will pay attention to the associated infrastructure that can impede or help to target the scope of the project for better rural and regional connectivity.  </w:t>
            </w:r>
          </w:p>
        </w:tc>
      </w:tr>
      <w:tr w14:paraId="6D0C5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67CA6578">
            <w:pPr>
              <w:spacing w:after="0" w:line="276" w:lineRule="auto"/>
              <w:jc w:val="both"/>
              <w:rPr>
                <w:rFonts w:ascii="Times New Roman" w:hAnsi="Times New Roman" w:cs="Times New Roman"/>
              </w:rPr>
            </w:pPr>
            <w:r>
              <w:rPr>
                <w:rFonts w:ascii="Times New Roman" w:hAnsi="Times New Roman" w:cs="Times New Roman"/>
              </w:rPr>
              <w:t>3</w:t>
            </w:r>
          </w:p>
        </w:tc>
        <w:tc>
          <w:tcPr>
            <w:tcW w:w="4686" w:type="dxa"/>
            <w:gridSpan w:val="3"/>
          </w:tcPr>
          <w:p w14:paraId="5AA3932B">
            <w:pPr>
              <w:spacing w:after="0" w:line="276" w:lineRule="auto"/>
              <w:jc w:val="both"/>
              <w:rPr>
                <w:rFonts w:ascii="Times New Roman" w:hAnsi="Times New Roman" w:cs="Times New Roman"/>
                <w:i/>
              </w:rPr>
            </w:pPr>
            <w:r>
              <w:rPr>
                <w:rFonts w:ascii="Times New Roman" w:hAnsi="Times New Roman" w:cs="Times New Roman"/>
                <w:i/>
              </w:rPr>
              <w:t>If the local roads, on the territory of Giurgiulesti, will be used by heavy trucks and machinery, we insist the local roads affected by truck transit be rehabilitated accordingly</w:t>
            </w:r>
          </w:p>
        </w:tc>
        <w:tc>
          <w:tcPr>
            <w:tcW w:w="4285" w:type="dxa"/>
            <w:gridSpan w:val="4"/>
          </w:tcPr>
          <w:p w14:paraId="5051CC03">
            <w:pPr>
              <w:spacing w:after="0" w:line="276" w:lineRule="auto"/>
              <w:jc w:val="both"/>
              <w:rPr>
                <w:rFonts w:ascii="Times New Roman" w:hAnsi="Times New Roman" w:cs="Times New Roman"/>
              </w:rPr>
            </w:pPr>
            <w:r>
              <w:rPr>
                <w:rFonts w:ascii="Times New Roman" w:hAnsi="Times New Roman" w:cs="Times New Roman"/>
              </w:rPr>
              <w:t xml:space="preserve">Yes, may be possible. But using of local roads for transportation of materials and transit is subject of approvals by engineer and Local Public Administration. local public administration can set up conditions for rehabilitation after using local roads to their original state, limit access times, and prohibit going to certain streets. </w:t>
            </w:r>
          </w:p>
        </w:tc>
      </w:tr>
      <w:tr w14:paraId="50DC2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0E8FD63E">
            <w:pPr>
              <w:spacing w:after="0" w:line="276" w:lineRule="auto"/>
              <w:jc w:val="both"/>
              <w:rPr>
                <w:rFonts w:ascii="Times New Roman" w:hAnsi="Times New Roman" w:cs="Times New Roman"/>
              </w:rPr>
            </w:pPr>
            <w:r>
              <w:rPr>
                <w:rFonts w:ascii="Times New Roman" w:hAnsi="Times New Roman" w:cs="Times New Roman"/>
              </w:rPr>
              <w:t>4</w:t>
            </w:r>
          </w:p>
        </w:tc>
        <w:tc>
          <w:tcPr>
            <w:tcW w:w="4686" w:type="dxa"/>
            <w:gridSpan w:val="3"/>
          </w:tcPr>
          <w:p w14:paraId="3F1ABD33">
            <w:pPr>
              <w:spacing w:after="0" w:line="276" w:lineRule="auto"/>
              <w:jc w:val="both"/>
              <w:rPr>
                <w:rFonts w:ascii="Times New Roman" w:hAnsi="Times New Roman" w:cs="Times New Roman"/>
                <w:i/>
              </w:rPr>
            </w:pPr>
            <w:r>
              <w:rPr>
                <w:rFonts w:ascii="Times New Roman" w:hAnsi="Times New Roman" w:cs="Times New Roman"/>
                <w:i/>
              </w:rPr>
              <w:t xml:space="preserve">We encourage the speeding up of the construction of the village bypass road and, in addition, the examination of the road leading to the port as a road variant for customs access to BCP. What will be the width of the bypass road? </w:t>
            </w:r>
          </w:p>
        </w:tc>
        <w:tc>
          <w:tcPr>
            <w:tcW w:w="4285" w:type="dxa"/>
            <w:gridSpan w:val="4"/>
          </w:tcPr>
          <w:p w14:paraId="7FD91B99">
            <w:pPr>
              <w:spacing w:after="0" w:line="276" w:lineRule="auto"/>
              <w:jc w:val="both"/>
              <w:rPr>
                <w:rFonts w:ascii="Times New Roman" w:hAnsi="Times New Roman" w:cs="Times New Roman"/>
              </w:rPr>
            </w:pPr>
            <w:r>
              <w:rPr>
                <w:rFonts w:ascii="Times New Roman" w:hAnsi="Times New Roman" w:cs="Times New Roman"/>
              </w:rPr>
              <w:t xml:space="preserve">This bypass road is not the subject of this Project. Will be probably 2 lanes (7 m of carriage way). GoM has to decide about approval of that construction and sources of finance. The MRCP will pay attention to the associated infrastructure that can impede or help to target the scope of the project for better rural and regional connectivity.  </w:t>
            </w:r>
          </w:p>
          <w:p w14:paraId="4704C720">
            <w:pPr>
              <w:spacing w:after="0" w:line="276" w:lineRule="auto"/>
              <w:jc w:val="both"/>
              <w:rPr>
                <w:rFonts w:ascii="Times New Roman" w:hAnsi="Times New Roman" w:cs="Times New Roman"/>
              </w:rPr>
            </w:pPr>
          </w:p>
          <w:p w14:paraId="1D57EAEC">
            <w:pPr>
              <w:spacing w:after="0" w:line="276" w:lineRule="auto"/>
              <w:jc w:val="both"/>
              <w:rPr>
                <w:rFonts w:ascii="Times New Roman" w:hAnsi="Times New Roman" w:cs="Times New Roman"/>
              </w:rPr>
            </w:pPr>
            <w:r>
              <w:rPr>
                <w:rFonts w:ascii="Times New Roman" w:hAnsi="Times New Roman" w:cs="Times New Roman"/>
              </w:rPr>
              <w:t xml:space="preserve">The road going to the port near Prut river is under passing the bridge over Prut in connection to Romania. It may be difficult to use this road to bypass the village and go to BCP. Let FS take into consideration these options if will be accepted. </w:t>
            </w:r>
          </w:p>
        </w:tc>
      </w:tr>
      <w:tr w14:paraId="56AFA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7D69966">
            <w:pPr>
              <w:spacing w:after="0" w:line="276" w:lineRule="auto"/>
              <w:jc w:val="both"/>
              <w:rPr>
                <w:rFonts w:ascii="Times New Roman" w:hAnsi="Times New Roman" w:cs="Times New Roman"/>
                <w:b/>
                <w:bCs/>
              </w:rPr>
            </w:pPr>
          </w:p>
        </w:tc>
        <w:tc>
          <w:tcPr>
            <w:tcW w:w="4686" w:type="dxa"/>
            <w:gridSpan w:val="3"/>
          </w:tcPr>
          <w:p w14:paraId="6EC7B6EB">
            <w:pPr>
              <w:spacing w:after="0" w:line="276" w:lineRule="auto"/>
              <w:jc w:val="both"/>
              <w:rPr>
                <w:rFonts w:ascii="Times New Roman" w:hAnsi="Times New Roman" w:cs="Times New Roman"/>
                <w:b/>
                <w:bCs/>
                <w:i/>
              </w:rPr>
            </w:pPr>
            <w:r>
              <w:rPr>
                <w:rFonts w:ascii="Times New Roman" w:hAnsi="Times New Roman" w:cs="Times New Roman"/>
                <w:b/>
                <w:bCs/>
                <w:i/>
              </w:rPr>
              <w:t xml:space="preserve">Conclusion </w:t>
            </w:r>
          </w:p>
        </w:tc>
        <w:tc>
          <w:tcPr>
            <w:tcW w:w="4285" w:type="dxa"/>
            <w:gridSpan w:val="4"/>
          </w:tcPr>
          <w:p w14:paraId="7EC13F8A">
            <w:pPr>
              <w:spacing w:after="0" w:line="276" w:lineRule="auto"/>
              <w:jc w:val="both"/>
              <w:rPr>
                <w:rFonts w:ascii="Times New Roman" w:hAnsi="Times New Roman" w:cs="Times New Roman"/>
                <w:b/>
                <w:bCs/>
              </w:rPr>
            </w:pPr>
            <w:r>
              <w:rPr>
                <w:rFonts w:ascii="Times New Roman" w:hAnsi="Times New Roman" w:cs="Times New Roman"/>
                <w:b/>
                <w:bCs/>
              </w:rPr>
              <w:t xml:space="preserve">The Project has good acceptance. </w:t>
            </w:r>
          </w:p>
        </w:tc>
      </w:tr>
    </w:tbl>
    <w:p w14:paraId="09133CB8">
      <w:pPr>
        <w:autoSpaceDE w:val="0"/>
        <w:autoSpaceDN w:val="0"/>
        <w:adjustRightInd w:val="0"/>
        <w:spacing w:after="0" w:line="276" w:lineRule="auto"/>
        <w:jc w:val="both"/>
        <w:rPr>
          <w:rFonts w:ascii="Times New Roman" w:hAnsi="Times New Roman" w:cs="Times New Roman"/>
          <w:color w:val="000000"/>
        </w:rPr>
      </w:pPr>
    </w:p>
    <w:p w14:paraId="7F648638">
      <w:pPr>
        <w:autoSpaceDE w:val="0"/>
        <w:autoSpaceDN w:val="0"/>
        <w:adjustRightInd w:val="0"/>
        <w:spacing w:after="0" w:line="276" w:lineRule="auto"/>
        <w:jc w:val="both"/>
        <w:rPr>
          <w:rFonts w:ascii="Times New Roman" w:hAnsi="Times New Roman" w:cs="Times New Roman"/>
          <w:color w:val="000000"/>
        </w:rPr>
      </w:pPr>
    </w:p>
    <w:p w14:paraId="1B4082CA">
      <w:pPr>
        <w:spacing w:line="276" w:lineRule="auto"/>
        <w:jc w:val="center"/>
        <w:rPr>
          <w:rFonts w:ascii="Times New Roman" w:hAnsi="Times New Roman" w:cs="Times New Roman"/>
          <w:b/>
        </w:rPr>
      </w:pPr>
      <w:r>
        <w:rPr>
          <w:rFonts w:ascii="Times New Roman" w:hAnsi="Times New Roman" w:cs="Times New Roman"/>
          <w:b/>
        </w:rPr>
        <w:t>Minutes of meeting</w:t>
      </w:r>
    </w:p>
    <w:p w14:paraId="14E6327D">
      <w:pPr>
        <w:spacing w:line="276" w:lineRule="auto"/>
        <w:jc w:val="center"/>
        <w:rPr>
          <w:rFonts w:ascii="Times New Roman" w:hAnsi="Times New Roman" w:cs="Times New Roman"/>
          <w:b/>
        </w:rPr>
      </w:pPr>
      <w:r>
        <w:rPr>
          <w:rFonts w:ascii="Times New Roman" w:hAnsi="Times New Roman" w:cs="Times New Roman"/>
          <w:b/>
        </w:rPr>
        <w:t xml:space="preserve">Public consultations for </w:t>
      </w:r>
    </w:p>
    <w:p w14:paraId="5E2B943D">
      <w:pPr>
        <w:spacing w:line="276" w:lineRule="auto"/>
        <w:jc w:val="center"/>
        <w:rPr>
          <w:rFonts w:ascii="Times New Roman" w:hAnsi="Times New Roman" w:cs="Times New Roman"/>
          <w:b/>
        </w:rPr>
      </w:pPr>
      <w:r>
        <w:rPr>
          <w:rFonts w:ascii="Times New Roman" w:hAnsi="Times New Roman" w:cs="Times New Roman"/>
          <w:b/>
          <w:bCs/>
        </w:rPr>
        <w:t xml:space="preserve">Giurgiulesti Platform </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9"/>
        <w:gridCol w:w="2014"/>
        <w:gridCol w:w="2275"/>
        <w:gridCol w:w="397"/>
        <w:gridCol w:w="1687"/>
        <w:gridCol w:w="983"/>
        <w:gridCol w:w="845"/>
        <w:gridCol w:w="770"/>
      </w:tblGrid>
      <w:tr w14:paraId="23F43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8E2D628">
            <w:pPr>
              <w:spacing w:after="0" w:line="276" w:lineRule="auto"/>
              <w:rPr>
                <w:rFonts w:ascii="Times New Roman" w:hAnsi="Times New Roman" w:cs="Times New Roman"/>
                <w:b/>
                <w:i/>
              </w:rPr>
            </w:pPr>
          </w:p>
        </w:tc>
        <w:tc>
          <w:tcPr>
            <w:tcW w:w="2014" w:type="dxa"/>
          </w:tcPr>
          <w:p w14:paraId="413E88E2">
            <w:pPr>
              <w:spacing w:after="0" w:line="276" w:lineRule="auto"/>
              <w:rPr>
                <w:rFonts w:ascii="Times New Roman" w:hAnsi="Times New Roman" w:cs="Times New Roman"/>
                <w:b/>
                <w:i/>
              </w:rPr>
            </w:pPr>
            <w:r>
              <w:rPr>
                <w:rFonts w:ascii="Times New Roman" w:hAnsi="Times New Roman" w:cs="Times New Roman"/>
                <w:b/>
                <w:i/>
              </w:rPr>
              <w:t xml:space="preserve">Date </w:t>
            </w:r>
          </w:p>
        </w:tc>
        <w:tc>
          <w:tcPr>
            <w:tcW w:w="2275" w:type="dxa"/>
            <w:tcBorders>
              <w:right w:val="single" w:color="auto" w:sz="4" w:space="0"/>
            </w:tcBorders>
          </w:tcPr>
          <w:p w14:paraId="17162377">
            <w:pPr>
              <w:spacing w:after="0" w:line="276" w:lineRule="auto"/>
              <w:rPr>
                <w:rFonts w:ascii="Times New Roman" w:hAnsi="Times New Roman" w:cs="Times New Roman"/>
              </w:rPr>
            </w:pPr>
            <w:r>
              <w:rPr>
                <w:rFonts w:ascii="Times New Roman" w:hAnsi="Times New Roman" w:cs="Times New Roman"/>
              </w:rPr>
              <w:t>02.04.2025</w:t>
            </w:r>
          </w:p>
        </w:tc>
        <w:tc>
          <w:tcPr>
            <w:tcW w:w="397" w:type="dxa"/>
            <w:tcBorders>
              <w:top w:val="nil"/>
              <w:left w:val="single" w:color="auto" w:sz="4" w:space="0"/>
              <w:bottom w:val="nil"/>
              <w:right w:val="nil"/>
            </w:tcBorders>
          </w:tcPr>
          <w:p w14:paraId="475B4C25">
            <w:pPr>
              <w:spacing w:after="0" w:line="276" w:lineRule="auto"/>
              <w:rPr>
                <w:rFonts w:ascii="Times New Roman" w:hAnsi="Times New Roman" w:cs="Times New Roman"/>
              </w:rPr>
            </w:pPr>
          </w:p>
        </w:tc>
        <w:tc>
          <w:tcPr>
            <w:tcW w:w="1687" w:type="dxa"/>
            <w:tcBorders>
              <w:top w:val="nil"/>
              <w:left w:val="nil"/>
              <w:bottom w:val="nil"/>
              <w:right w:val="nil"/>
            </w:tcBorders>
          </w:tcPr>
          <w:p w14:paraId="1484FEF6">
            <w:pPr>
              <w:spacing w:after="0" w:line="276" w:lineRule="auto"/>
              <w:rPr>
                <w:rFonts w:ascii="Times New Roman" w:hAnsi="Times New Roman" w:cs="Times New Roman"/>
              </w:rPr>
            </w:pPr>
          </w:p>
        </w:tc>
        <w:tc>
          <w:tcPr>
            <w:tcW w:w="983" w:type="dxa"/>
            <w:tcBorders>
              <w:top w:val="nil"/>
              <w:left w:val="nil"/>
              <w:bottom w:val="nil"/>
              <w:right w:val="nil"/>
            </w:tcBorders>
          </w:tcPr>
          <w:p w14:paraId="4D35DCD6">
            <w:pPr>
              <w:spacing w:after="0" w:line="276" w:lineRule="auto"/>
              <w:rPr>
                <w:rFonts w:ascii="Times New Roman" w:hAnsi="Times New Roman" w:cs="Times New Roman"/>
              </w:rPr>
            </w:pPr>
          </w:p>
        </w:tc>
        <w:tc>
          <w:tcPr>
            <w:tcW w:w="845" w:type="dxa"/>
            <w:tcBorders>
              <w:top w:val="nil"/>
              <w:left w:val="nil"/>
              <w:bottom w:val="nil"/>
              <w:right w:val="nil"/>
            </w:tcBorders>
          </w:tcPr>
          <w:p w14:paraId="2665E3CC">
            <w:pPr>
              <w:spacing w:after="0" w:line="276" w:lineRule="auto"/>
              <w:rPr>
                <w:rFonts w:ascii="Times New Roman" w:hAnsi="Times New Roman" w:cs="Times New Roman"/>
              </w:rPr>
            </w:pPr>
          </w:p>
        </w:tc>
        <w:tc>
          <w:tcPr>
            <w:tcW w:w="770" w:type="dxa"/>
            <w:tcBorders>
              <w:top w:val="nil"/>
              <w:left w:val="nil"/>
              <w:bottom w:val="nil"/>
              <w:right w:val="nil"/>
            </w:tcBorders>
          </w:tcPr>
          <w:p w14:paraId="2DE0CBB9">
            <w:pPr>
              <w:spacing w:after="0" w:line="276" w:lineRule="auto"/>
              <w:rPr>
                <w:rFonts w:ascii="Times New Roman" w:hAnsi="Times New Roman" w:cs="Times New Roman"/>
              </w:rPr>
            </w:pPr>
          </w:p>
        </w:tc>
      </w:tr>
      <w:tr w14:paraId="1890C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6BFCEA8F">
            <w:pPr>
              <w:spacing w:after="0" w:line="276" w:lineRule="auto"/>
              <w:rPr>
                <w:rFonts w:ascii="Times New Roman" w:hAnsi="Times New Roman" w:cs="Times New Roman"/>
                <w:b/>
                <w:i/>
              </w:rPr>
            </w:pPr>
          </w:p>
        </w:tc>
        <w:tc>
          <w:tcPr>
            <w:tcW w:w="2014" w:type="dxa"/>
          </w:tcPr>
          <w:p w14:paraId="60BF637D">
            <w:pPr>
              <w:spacing w:after="0" w:line="276" w:lineRule="auto"/>
              <w:rPr>
                <w:rFonts w:ascii="Times New Roman" w:hAnsi="Times New Roman" w:cs="Times New Roman"/>
                <w:b/>
                <w:i/>
              </w:rPr>
            </w:pPr>
            <w:r>
              <w:rPr>
                <w:rFonts w:ascii="Times New Roman" w:hAnsi="Times New Roman" w:cs="Times New Roman"/>
                <w:b/>
                <w:i/>
              </w:rPr>
              <w:t>Time</w:t>
            </w:r>
          </w:p>
        </w:tc>
        <w:tc>
          <w:tcPr>
            <w:tcW w:w="2275" w:type="dxa"/>
            <w:tcBorders>
              <w:right w:val="single" w:color="auto" w:sz="4" w:space="0"/>
            </w:tcBorders>
          </w:tcPr>
          <w:p w14:paraId="29588FD9">
            <w:pPr>
              <w:spacing w:after="0" w:line="276" w:lineRule="auto"/>
              <w:rPr>
                <w:rFonts w:ascii="Times New Roman" w:hAnsi="Times New Roman" w:cs="Times New Roman"/>
              </w:rPr>
            </w:pPr>
            <w:r>
              <w:rPr>
                <w:rFonts w:ascii="Times New Roman" w:hAnsi="Times New Roman" w:cs="Times New Roman"/>
              </w:rPr>
              <w:t>11.20-12.30</w:t>
            </w:r>
          </w:p>
        </w:tc>
        <w:tc>
          <w:tcPr>
            <w:tcW w:w="397" w:type="dxa"/>
            <w:tcBorders>
              <w:top w:val="nil"/>
              <w:left w:val="single" w:color="auto" w:sz="4" w:space="0"/>
              <w:bottom w:val="nil"/>
              <w:right w:val="nil"/>
            </w:tcBorders>
          </w:tcPr>
          <w:p w14:paraId="45933EB7">
            <w:pPr>
              <w:spacing w:after="0" w:line="276" w:lineRule="auto"/>
              <w:rPr>
                <w:rFonts w:ascii="Times New Roman" w:hAnsi="Times New Roman" w:cs="Times New Roman"/>
              </w:rPr>
            </w:pPr>
          </w:p>
        </w:tc>
        <w:tc>
          <w:tcPr>
            <w:tcW w:w="1687" w:type="dxa"/>
            <w:tcBorders>
              <w:top w:val="nil"/>
              <w:left w:val="nil"/>
              <w:bottom w:val="nil"/>
              <w:right w:val="nil"/>
            </w:tcBorders>
          </w:tcPr>
          <w:p w14:paraId="3CD9C5E0">
            <w:pPr>
              <w:spacing w:after="0" w:line="276" w:lineRule="auto"/>
              <w:rPr>
                <w:rFonts w:ascii="Times New Roman" w:hAnsi="Times New Roman" w:cs="Times New Roman"/>
              </w:rPr>
            </w:pPr>
          </w:p>
        </w:tc>
        <w:tc>
          <w:tcPr>
            <w:tcW w:w="983" w:type="dxa"/>
            <w:tcBorders>
              <w:top w:val="nil"/>
              <w:left w:val="nil"/>
              <w:bottom w:val="nil"/>
              <w:right w:val="nil"/>
            </w:tcBorders>
          </w:tcPr>
          <w:p w14:paraId="09890296">
            <w:pPr>
              <w:spacing w:after="0" w:line="276" w:lineRule="auto"/>
              <w:rPr>
                <w:rFonts w:ascii="Times New Roman" w:hAnsi="Times New Roman" w:cs="Times New Roman"/>
              </w:rPr>
            </w:pPr>
          </w:p>
        </w:tc>
        <w:tc>
          <w:tcPr>
            <w:tcW w:w="845" w:type="dxa"/>
            <w:tcBorders>
              <w:top w:val="nil"/>
              <w:left w:val="nil"/>
              <w:bottom w:val="nil"/>
              <w:right w:val="nil"/>
            </w:tcBorders>
          </w:tcPr>
          <w:p w14:paraId="6834F0A8">
            <w:pPr>
              <w:spacing w:after="0" w:line="276" w:lineRule="auto"/>
              <w:rPr>
                <w:rFonts w:ascii="Times New Roman" w:hAnsi="Times New Roman" w:cs="Times New Roman"/>
              </w:rPr>
            </w:pPr>
          </w:p>
        </w:tc>
        <w:tc>
          <w:tcPr>
            <w:tcW w:w="770" w:type="dxa"/>
            <w:tcBorders>
              <w:top w:val="nil"/>
              <w:left w:val="nil"/>
              <w:bottom w:val="nil"/>
              <w:right w:val="nil"/>
            </w:tcBorders>
          </w:tcPr>
          <w:p w14:paraId="520157C3">
            <w:pPr>
              <w:spacing w:after="0" w:line="276" w:lineRule="auto"/>
              <w:rPr>
                <w:rFonts w:ascii="Times New Roman" w:hAnsi="Times New Roman" w:cs="Times New Roman"/>
              </w:rPr>
            </w:pPr>
          </w:p>
        </w:tc>
      </w:tr>
      <w:tr w14:paraId="3EB6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046BDAF8">
            <w:pPr>
              <w:spacing w:after="0" w:line="276" w:lineRule="auto"/>
              <w:rPr>
                <w:rFonts w:ascii="Times New Roman" w:hAnsi="Times New Roman" w:cs="Times New Roman"/>
                <w:b/>
                <w:i/>
              </w:rPr>
            </w:pPr>
          </w:p>
        </w:tc>
        <w:tc>
          <w:tcPr>
            <w:tcW w:w="2014" w:type="dxa"/>
          </w:tcPr>
          <w:p w14:paraId="38BC0EF9">
            <w:pPr>
              <w:spacing w:after="0" w:line="276" w:lineRule="auto"/>
              <w:rPr>
                <w:rFonts w:ascii="Times New Roman" w:hAnsi="Times New Roman" w:cs="Times New Roman"/>
                <w:b/>
                <w:i/>
              </w:rPr>
            </w:pPr>
            <w:r>
              <w:rPr>
                <w:rFonts w:ascii="Times New Roman" w:hAnsi="Times New Roman" w:cs="Times New Roman"/>
                <w:b/>
                <w:i/>
              </w:rPr>
              <w:t>Location</w:t>
            </w:r>
          </w:p>
        </w:tc>
        <w:tc>
          <w:tcPr>
            <w:tcW w:w="6957" w:type="dxa"/>
            <w:gridSpan w:val="6"/>
            <w:tcBorders>
              <w:right w:val="single" w:color="auto" w:sz="4" w:space="0"/>
            </w:tcBorders>
            <w:shd w:val="clear" w:color="auto" w:fill="FFFFFF" w:themeFill="background1"/>
          </w:tcPr>
          <w:p w14:paraId="219726BF">
            <w:pPr>
              <w:spacing w:after="0" w:line="276" w:lineRule="auto"/>
              <w:rPr>
                <w:rFonts w:ascii="Times New Roman" w:hAnsi="Times New Roman" w:cs="Times New Roman"/>
                <w:shd w:val="clear" w:color="auto" w:fill="FFFFFF"/>
              </w:rPr>
            </w:pPr>
            <w:r>
              <w:rPr>
                <w:rFonts w:ascii="Times New Roman" w:hAnsi="Times New Roman" w:cs="Times New Roman"/>
                <w:b/>
                <w:shd w:val="clear" w:color="auto" w:fill="FFFFFF"/>
              </w:rPr>
              <w:t>Giurgiulesti  LPA premises</w:t>
            </w:r>
          </w:p>
        </w:tc>
      </w:tr>
      <w:tr w14:paraId="190E0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70F717D4">
            <w:pPr>
              <w:spacing w:after="0" w:line="276" w:lineRule="auto"/>
              <w:rPr>
                <w:rFonts w:ascii="Times New Roman" w:hAnsi="Times New Roman" w:cs="Times New Roman"/>
                <w:b/>
                <w:i/>
              </w:rPr>
            </w:pPr>
          </w:p>
        </w:tc>
        <w:tc>
          <w:tcPr>
            <w:tcW w:w="2014" w:type="dxa"/>
          </w:tcPr>
          <w:p w14:paraId="525A07F1">
            <w:pPr>
              <w:spacing w:after="0" w:line="276" w:lineRule="auto"/>
              <w:rPr>
                <w:rFonts w:ascii="Times New Roman" w:hAnsi="Times New Roman" w:cs="Times New Roman"/>
                <w:b/>
                <w:i/>
              </w:rPr>
            </w:pPr>
            <w:r>
              <w:rPr>
                <w:rFonts w:ascii="Times New Roman" w:hAnsi="Times New Roman" w:cs="Times New Roman"/>
                <w:b/>
                <w:i/>
              </w:rPr>
              <w:t>Consultants/ moderators</w:t>
            </w:r>
          </w:p>
        </w:tc>
        <w:tc>
          <w:tcPr>
            <w:tcW w:w="6957" w:type="dxa"/>
            <w:gridSpan w:val="6"/>
          </w:tcPr>
          <w:p w14:paraId="62EF7FFE">
            <w:pPr>
              <w:spacing w:after="0" w:line="276" w:lineRule="auto"/>
              <w:rPr>
                <w:rFonts w:ascii="Times New Roman" w:hAnsi="Times New Roman" w:cs="Times New Roman"/>
              </w:rPr>
            </w:pPr>
            <w:r>
              <w:rPr>
                <w:rFonts w:ascii="Times New Roman" w:hAnsi="Times New Roman" w:cs="Times New Roman"/>
              </w:rPr>
              <w:t>Veaceslav Vladicescu / Tatiana Trofimov</w:t>
            </w:r>
          </w:p>
        </w:tc>
      </w:tr>
      <w:tr w14:paraId="5008B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AF484E3">
            <w:pPr>
              <w:spacing w:after="0" w:line="276" w:lineRule="auto"/>
              <w:rPr>
                <w:rFonts w:ascii="Times New Roman" w:hAnsi="Times New Roman" w:cs="Times New Roman"/>
                <w:b/>
                <w:i/>
              </w:rPr>
            </w:pPr>
          </w:p>
        </w:tc>
        <w:tc>
          <w:tcPr>
            <w:tcW w:w="2014" w:type="dxa"/>
          </w:tcPr>
          <w:p w14:paraId="219AE111">
            <w:pPr>
              <w:spacing w:after="0" w:line="276" w:lineRule="auto"/>
              <w:rPr>
                <w:rFonts w:ascii="Times New Roman" w:hAnsi="Times New Roman" w:cs="Times New Roman"/>
                <w:b/>
                <w:i/>
              </w:rPr>
            </w:pPr>
            <w:r>
              <w:rPr>
                <w:rFonts w:ascii="Times New Roman" w:hAnsi="Times New Roman" w:cs="Times New Roman"/>
                <w:b/>
                <w:i/>
              </w:rPr>
              <w:t>No. of participants</w:t>
            </w:r>
          </w:p>
        </w:tc>
        <w:tc>
          <w:tcPr>
            <w:tcW w:w="6957" w:type="dxa"/>
            <w:gridSpan w:val="6"/>
            <w:tcBorders>
              <w:right w:val="single" w:color="auto" w:sz="4" w:space="0"/>
            </w:tcBorders>
          </w:tcPr>
          <w:p w14:paraId="4DB91288">
            <w:pPr>
              <w:spacing w:after="0" w:line="276" w:lineRule="auto"/>
              <w:rPr>
                <w:rFonts w:ascii="Times New Roman" w:hAnsi="Times New Roman" w:cs="Times New Roman"/>
              </w:rPr>
            </w:pPr>
            <w:r>
              <w:rPr>
                <w:rFonts w:ascii="Times New Roman" w:hAnsi="Times New Roman" w:cs="Times New Roman"/>
                <w:b/>
                <w:bCs/>
              </w:rPr>
              <w:t>16 (MCS, Border Police, local police, LPA, Giurgiulesti  Free International Port)</w:t>
            </w:r>
          </w:p>
        </w:tc>
      </w:tr>
      <w:tr w14:paraId="11364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7A83FF11">
            <w:pPr>
              <w:spacing w:after="0" w:line="276" w:lineRule="auto"/>
              <w:rPr>
                <w:rFonts w:ascii="Times New Roman" w:hAnsi="Times New Roman" w:cs="Times New Roman"/>
                <w:b/>
                <w:i/>
              </w:rPr>
            </w:pPr>
          </w:p>
        </w:tc>
        <w:tc>
          <w:tcPr>
            <w:tcW w:w="2014" w:type="dxa"/>
          </w:tcPr>
          <w:p w14:paraId="34DD1E12">
            <w:pPr>
              <w:spacing w:after="0" w:line="276" w:lineRule="auto"/>
              <w:rPr>
                <w:rFonts w:ascii="Times New Roman" w:hAnsi="Times New Roman" w:cs="Times New Roman"/>
                <w:b/>
                <w:i/>
              </w:rPr>
            </w:pPr>
            <w:r>
              <w:rPr>
                <w:rFonts w:ascii="Times New Roman" w:hAnsi="Times New Roman" w:cs="Times New Roman"/>
                <w:b/>
                <w:i/>
              </w:rPr>
              <w:t>Topics presented by Consultant (inclusive PPT)</w:t>
            </w:r>
          </w:p>
        </w:tc>
        <w:tc>
          <w:tcPr>
            <w:tcW w:w="6957" w:type="dxa"/>
            <w:gridSpan w:val="6"/>
          </w:tcPr>
          <w:p w14:paraId="531C7489">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General information about the proposed Project </w:t>
            </w:r>
          </w:p>
          <w:p w14:paraId="721C55B6">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Detailed known elements of the project in the area of locality </w:t>
            </w:r>
          </w:p>
          <w:p w14:paraId="21D76BC9">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Specific information about the purpose ESMP Checklist and main environmental and social possible impacts; GRM description. </w:t>
            </w:r>
          </w:p>
          <w:p w14:paraId="47DF41A1">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Specific identified possible impacts on the environment and population </w:t>
            </w:r>
          </w:p>
          <w:p w14:paraId="5AE5A15E">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 xml:space="preserve">Specific mitigation measures proposed. </w:t>
            </w:r>
          </w:p>
          <w:p w14:paraId="0075ADA8">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Next steps in the MRCP</w:t>
            </w:r>
          </w:p>
          <w:p w14:paraId="3D93AE6B">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Establish of SIMC and Project’s positive involvement in the community through SIMCs</w:t>
            </w:r>
          </w:p>
          <w:p w14:paraId="09EAD692">
            <w:pPr>
              <w:pStyle w:val="39"/>
              <w:numPr>
                <w:ilvl w:val="0"/>
                <w:numId w:val="39"/>
              </w:numPr>
              <w:spacing w:after="0" w:line="276" w:lineRule="auto"/>
              <w:ind w:left="327" w:hanging="251"/>
              <w:rPr>
                <w:rFonts w:ascii="Times New Roman" w:hAnsi="Times New Roman" w:cs="Times New Roman"/>
              </w:rPr>
            </w:pPr>
            <w:r>
              <w:rPr>
                <w:rFonts w:ascii="Times New Roman" w:hAnsi="Times New Roman" w:cs="Times New Roman"/>
              </w:rPr>
              <w:t>Contact information of stakeholders (SRA, MIRD, MCS, MF, WB)</w:t>
            </w:r>
          </w:p>
        </w:tc>
      </w:tr>
      <w:tr w14:paraId="6B333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6AEBD06D">
            <w:pPr>
              <w:spacing w:after="0" w:line="276" w:lineRule="auto"/>
              <w:rPr>
                <w:rFonts w:ascii="Times New Roman" w:hAnsi="Times New Roman" w:cs="Times New Roman"/>
                <w:b/>
                <w:i/>
              </w:rPr>
            </w:pPr>
          </w:p>
        </w:tc>
        <w:tc>
          <w:tcPr>
            <w:tcW w:w="4686" w:type="dxa"/>
            <w:gridSpan w:val="3"/>
          </w:tcPr>
          <w:p w14:paraId="73A7D756">
            <w:pPr>
              <w:spacing w:after="0" w:line="276" w:lineRule="auto"/>
              <w:rPr>
                <w:rFonts w:ascii="Times New Roman" w:hAnsi="Times New Roman" w:cs="Times New Roman"/>
                <w:b/>
                <w:i/>
              </w:rPr>
            </w:pPr>
            <w:r>
              <w:rPr>
                <w:rFonts w:ascii="Times New Roman" w:hAnsi="Times New Roman" w:cs="Times New Roman"/>
                <w:b/>
                <w:i/>
              </w:rPr>
              <w:t>The questions raised and/or received proposals from participants:</w:t>
            </w:r>
          </w:p>
        </w:tc>
        <w:tc>
          <w:tcPr>
            <w:tcW w:w="4285" w:type="dxa"/>
            <w:gridSpan w:val="4"/>
          </w:tcPr>
          <w:p w14:paraId="08FCF442">
            <w:pPr>
              <w:spacing w:after="0" w:line="276" w:lineRule="auto"/>
              <w:rPr>
                <w:rFonts w:ascii="Times New Roman" w:hAnsi="Times New Roman" w:cs="Times New Roman"/>
                <w:b/>
                <w:i/>
              </w:rPr>
            </w:pPr>
            <w:r>
              <w:rPr>
                <w:rFonts w:ascii="Times New Roman" w:hAnsi="Times New Roman" w:cs="Times New Roman"/>
                <w:b/>
                <w:i/>
              </w:rPr>
              <w:t>Answers/comments of moderators/consultants:</w:t>
            </w:r>
          </w:p>
        </w:tc>
      </w:tr>
      <w:tr w14:paraId="4AC55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27FB1D20">
            <w:pPr>
              <w:spacing w:after="0" w:line="276" w:lineRule="auto"/>
              <w:jc w:val="both"/>
              <w:rPr>
                <w:rFonts w:ascii="Times New Roman" w:hAnsi="Times New Roman" w:cs="Times New Roman"/>
              </w:rPr>
            </w:pPr>
            <w:r>
              <w:rPr>
                <w:rFonts w:ascii="Times New Roman" w:hAnsi="Times New Roman" w:cs="Times New Roman"/>
              </w:rPr>
              <w:t>1</w:t>
            </w:r>
          </w:p>
        </w:tc>
        <w:tc>
          <w:tcPr>
            <w:tcW w:w="4686" w:type="dxa"/>
            <w:gridSpan w:val="3"/>
          </w:tcPr>
          <w:p w14:paraId="6799124A">
            <w:pPr>
              <w:spacing w:after="0" w:line="276" w:lineRule="auto"/>
              <w:jc w:val="both"/>
              <w:rPr>
                <w:rFonts w:ascii="Times New Roman" w:hAnsi="Times New Roman" w:cs="Times New Roman"/>
                <w:i/>
              </w:rPr>
            </w:pPr>
            <w:r>
              <w:rPr>
                <w:rFonts w:ascii="Times New Roman" w:hAnsi="Times New Roman" w:cs="Times New Roman"/>
                <w:i/>
              </w:rPr>
              <w:t xml:space="preserve">Whan the construction will start? </w:t>
            </w:r>
          </w:p>
        </w:tc>
        <w:tc>
          <w:tcPr>
            <w:tcW w:w="4285" w:type="dxa"/>
            <w:gridSpan w:val="4"/>
          </w:tcPr>
          <w:p w14:paraId="765F8D87">
            <w:pPr>
              <w:spacing w:after="0" w:line="276" w:lineRule="auto"/>
              <w:jc w:val="both"/>
              <w:rPr>
                <w:rFonts w:ascii="Times New Roman" w:hAnsi="Times New Roman" w:cs="Times New Roman"/>
              </w:rPr>
            </w:pPr>
            <w:r>
              <w:rPr>
                <w:rFonts w:ascii="Times New Roman" w:hAnsi="Times New Roman" w:cs="Times New Roman"/>
              </w:rPr>
              <w:t xml:space="preserve">We expect this summer-autumn the construction to begin, this will follow after launching tender and selection of a Contractor </w:t>
            </w:r>
          </w:p>
        </w:tc>
      </w:tr>
      <w:tr w14:paraId="742E5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10774FC3">
            <w:pPr>
              <w:spacing w:after="0" w:line="276" w:lineRule="auto"/>
              <w:jc w:val="both"/>
              <w:rPr>
                <w:rFonts w:ascii="Times New Roman" w:hAnsi="Times New Roman" w:cs="Times New Roman"/>
              </w:rPr>
            </w:pPr>
            <w:r>
              <w:rPr>
                <w:rFonts w:ascii="Times New Roman" w:hAnsi="Times New Roman" w:cs="Times New Roman"/>
              </w:rPr>
              <w:t>2</w:t>
            </w:r>
          </w:p>
        </w:tc>
        <w:tc>
          <w:tcPr>
            <w:tcW w:w="4686" w:type="dxa"/>
            <w:gridSpan w:val="3"/>
          </w:tcPr>
          <w:p w14:paraId="4C3BABFA">
            <w:pPr>
              <w:spacing w:after="0" w:line="276" w:lineRule="auto"/>
              <w:jc w:val="both"/>
              <w:rPr>
                <w:rFonts w:ascii="Times New Roman" w:hAnsi="Times New Roman" w:cs="Times New Roman"/>
                <w:i/>
              </w:rPr>
            </w:pPr>
            <w:r>
              <w:rPr>
                <w:rFonts w:ascii="Times New Roman" w:hAnsi="Times New Roman" w:cs="Times New Roman"/>
                <w:i/>
              </w:rPr>
              <w:t xml:space="preserve">After construction of Giurgiulesti bypass, the platform will be still used? How to ensure the trucks will not pass thru village roads? </w:t>
            </w:r>
          </w:p>
        </w:tc>
        <w:tc>
          <w:tcPr>
            <w:tcW w:w="4285" w:type="dxa"/>
            <w:gridSpan w:val="4"/>
          </w:tcPr>
          <w:p w14:paraId="7778097D">
            <w:pPr>
              <w:spacing w:after="0" w:line="276" w:lineRule="auto"/>
              <w:jc w:val="both"/>
              <w:rPr>
                <w:rFonts w:ascii="Times New Roman" w:hAnsi="Times New Roman" w:cs="Times New Roman"/>
                <w:lang w:val="en-GB"/>
              </w:rPr>
            </w:pPr>
            <w:r>
              <w:rPr>
                <w:rFonts w:ascii="Times New Roman" w:hAnsi="Times New Roman" w:cs="Times New Roman"/>
                <w:lang w:val="en-GB"/>
              </w:rPr>
              <w:t>The construction of the Giurgiulești village bypass road is intended to significantly reduce the volume of heavy truck traffic passing through the centre of the village. The primary purpose of the bypass is to redirect transit trucks to Giurgiulesti port and border point, especially those not needing access to local facilities, in order to improve road safety, reduce noise and air pollution, and protect local infrastructure.</w:t>
            </w:r>
          </w:p>
          <w:p w14:paraId="5310E7A9">
            <w:pPr>
              <w:spacing w:after="0" w:line="276" w:lineRule="auto"/>
              <w:jc w:val="both"/>
              <w:rPr>
                <w:rFonts w:ascii="Times New Roman" w:hAnsi="Times New Roman" w:cs="Times New Roman"/>
                <w:lang w:val="en-GB"/>
              </w:rPr>
            </w:pPr>
            <w:r>
              <w:rPr>
                <w:rFonts w:ascii="Times New Roman" w:hAnsi="Times New Roman" w:cs="Times New Roman"/>
                <w:lang w:val="en-GB"/>
              </w:rPr>
              <w:t>However, it is important to note that trucks that need to reach specific destinations within the village. To ensure that unnecessary truck traffic is minimized:</w:t>
            </w:r>
          </w:p>
          <w:p w14:paraId="4A9423EC">
            <w:pPr>
              <w:numPr>
                <w:ilvl w:val="0"/>
                <w:numId w:val="40"/>
              </w:numPr>
              <w:spacing w:after="0" w:line="276" w:lineRule="auto"/>
              <w:jc w:val="both"/>
              <w:rPr>
                <w:rFonts w:ascii="Times New Roman" w:hAnsi="Times New Roman" w:cs="Times New Roman"/>
                <w:lang w:val="en-GB"/>
              </w:rPr>
            </w:pPr>
            <w:r>
              <w:rPr>
                <w:rFonts w:ascii="Times New Roman" w:hAnsi="Times New Roman" w:cs="Times New Roman"/>
                <w:lang w:val="en-GB"/>
              </w:rPr>
              <w:t>Clear traffic signs and restrictions for heavy vehicles will be installed;</w:t>
            </w:r>
          </w:p>
          <w:p w14:paraId="3032F34C">
            <w:pPr>
              <w:numPr>
                <w:ilvl w:val="0"/>
                <w:numId w:val="40"/>
              </w:numPr>
              <w:spacing w:after="0" w:line="276" w:lineRule="auto"/>
              <w:jc w:val="both"/>
              <w:rPr>
                <w:rFonts w:ascii="Times New Roman" w:hAnsi="Times New Roman" w:cs="Times New Roman"/>
                <w:lang w:val="en-GB"/>
              </w:rPr>
            </w:pPr>
            <w:r>
              <w:rPr>
                <w:rFonts w:ascii="Times New Roman" w:hAnsi="Times New Roman" w:cs="Times New Roman"/>
                <w:lang w:val="en-GB"/>
              </w:rPr>
              <w:t>Monitoring and enforcement measures will be applied in collaboration with local authorities;</w:t>
            </w:r>
          </w:p>
          <w:p w14:paraId="2DAC66EE">
            <w:pPr>
              <w:numPr>
                <w:ilvl w:val="0"/>
                <w:numId w:val="40"/>
              </w:numPr>
              <w:spacing w:after="0" w:line="276" w:lineRule="auto"/>
              <w:jc w:val="both"/>
              <w:rPr>
                <w:rFonts w:ascii="Times New Roman" w:hAnsi="Times New Roman" w:cs="Times New Roman"/>
                <w:lang w:val="en-GB"/>
              </w:rPr>
            </w:pPr>
            <w:r>
              <w:rPr>
                <w:rFonts w:ascii="Times New Roman" w:hAnsi="Times New Roman" w:cs="Times New Roman"/>
                <w:lang w:val="en-GB"/>
              </w:rPr>
              <w:t>A truck queuing and guidance system will help redirect traffic appropriately;</w:t>
            </w:r>
          </w:p>
          <w:p w14:paraId="2841823E">
            <w:pPr>
              <w:numPr>
                <w:ilvl w:val="0"/>
                <w:numId w:val="40"/>
              </w:numPr>
              <w:spacing w:after="0" w:line="276" w:lineRule="auto"/>
              <w:jc w:val="both"/>
              <w:rPr>
                <w:rFonts w:ascii="Times New Roman" w:hAnsi="Times New Roman" w:cs="Times New Roman"/>
                <w:lang w:val="en-GB"/>
              </w:rPr>
            </w:pPr>
            <w:r>
              <w:rPr>
                <w:rFonts w:ascii="Times New Roman" w:hAnsi="Times New Roman" w:cs="Times New Roman"/>
                <w:lang w:val="en-GB"/>
              </w:rPr>
              <w:t>Additional consultations with the local community may be held to adjust measures if concerns persist.</w:t>
            </w:r>
          </w:p>
        </w:tc>
      </w:tr>
      <w:tr w14:paraId="17C66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9" w:type="dxa"/>
          </w:tcPr>
          <w:p w14:paraId="4E3E1A4D">
            <w:pPr>
              <w:spacing w:after="0" w:line="276" w:lineRule="auto"/>
              <w:jc w:val="both"/>
              <w:rPr>
                <w:rFonts w:ascii="Times New Roman" w:hAnsi="Times New Roman" w:cs="Times New Roman"/>
                <w:b/>
                <w:bCs/>
              </w:rPr>
            </w:pPr>
          </w:p>
        </w:tc>
        <w:tc>
          <w:tcPr>
            <w:tcW w:w="4686" w:type="dxa"/>
            <w:gridSpan w:val="3"/>
          </w:tcPr>
          <w:p w14:paraId="3F83CB06">
            <w:pPr>
              <w:spacing w:after="0" w:line="276" w:lineRule="auto"/>
              <w:jc w:val="both"/>
              <w:rPr>
                <w:rFonts w:ascii="Times New Roman" w:hAnsi="Times New Roman" w:cs="Times New Roman"/>
                <w:b/>
                <w:bCs/>
                <w:i/>
              </w:rPr>
            </w:pPr>
            <w:r>
              <w:rPr>
                <w:rFonts w:ascii="Times New Roman" w:hAnsi="Times New Roman" w:cs="Times New Roman"/>
                <w:b/>
                <w:bCs/>
                <w:i/>
              </w:rPr>
              <w:t xml:space="preserve">Conclusion </w:t>
            </w:r>
          </w:p>
        </w:tc>
        <w:tc>
          <w:tcPr>
            <w:tcW w:w="4285" w:type="dxa"/>
            <w:gridSpan w:val="4"/>
          </w:tcPr>
          <w:p w14:paraId="3E1070DC">
            <w:pPr>
              <w:spacing w:after="0" w:line="276" w:lineRule="auto"/>
              <w:jc w:val="both"/>
              <w:rPr>
                <w:rFonts w:ascii="Times New Roman" w:hAnsi="Times New Roman" w:cs="Times New Roman"/>
                <w:b/>
                <w:bCs/>
              </w:rPr>
            </w:pPr>
            <w:r>
              <w:rPr>
                <w:rFonts w:ascii="Times New Roman" w:hAnsi="Times New Roman" w:cs="Times New Roman"/>
                <w:b/>
                <w:bCs/>
              </w:rPr>
              <w:t xml:space="preserve">The Project has good acceptance. </w:t>
            </w:r>
          </w:p>
        </w:tc>
      </w:tr>
    </w:tbl>
    <w:p w14:paraId="324DCB77">
      <w:pPr>
        <w:autoSpaceDE w:val="0"/>
        <w:autoSpaceDN w:val="0"/>
        <w:adjustRightInd w:val="0"/>
        <w:spacing w:after="0" w:line="276" w:lineRule="auto"/>
        <w:jc w:val="both"/>
        <w:rPr>
          <w:rFonts w:ascii="Times New Roman" w:hAnsi="Times New Roman" w:cs="Times New Roman"/>
          <w:color w:val="000000"/>
        </w:rPr>
      </w:pPr>
    </w:p>
    <w:p w14:paraId="6D83685F">
      <w:pPr>
        <w:autoSpaceDE w:val="0"/>
        <w:autoSpaceDN w:val="0"/>
        <w:adjustRightInd w:val="0"/>
        <w:spacing w:after="0" w:line="276" w:lineRule="auto"/>
        <w:jc w:val="both"/>
        <w:rPr>
          <w:rFonts w:ascii="Times New Roman" w:hAnsi="Times New Roman" w:cs="Times New Roman"/>
          <w:color w:val="000000"/>
        </w:rPr>
      </w:pPr>
    </w:p>
    <w:p w14:paraId="4CB7287D">
      <w:pPr>
        <w:autoSpaceDE w:val="0"/>
        <w:autoSpaceDN w:val="0"/>
        <w:adjustRightInd w:val="0"/>
        <w:spacing w:after="0" w:line="276" w:lineRule="auto"/>
        <w:jc w:val="both"/>
        <w:rPr>
          <w:rFonts w:ascii="Times New Roman" w:hAnsi="Times New Roman" w:cs="Times New Roman"/>
          <w:color w:val="000000"/>
        </w:rPr>
      </w:pPr>
    </w:p>
    <w:bookmarkEnd w:id="18"/>
    <w:p w14:paraId="754E2C07">
      <w:pPr>
        <w:autoSpaceDE w:val="0"/>
        <w:autoSpaceDN w:val="0"/>
        <w:adjustRightInd w:val="0"/>
        <w:spacing w:after="0" w:line="276" w:lineRule="auto"/>
        <w:jc w:val="both"/>
        <w:rPr>
          <w:rFonts w:ascii="Times New Roman" w:hAnsi="Times New Roman" w:cs="Times New Roman"/>
          <w:color w:val="000000"/>
        </w:rPr>
      </w:pPr>
    </w:p>
    <w:sectPr>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47972351-E0E8-4EDF-BBF0-4094038CCDDE}"/>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45B9F93E-F468-459A-9251-66F1C8A7E187}"/>
  </w:font>
  <w:font w:name="Wingdings">
    <w:panose1 w:val="05000000000000000000"/>
    <w:charset w:val="02"/>
    <w:family w:val="auto"/>
    <w:pitch w:val="default"/>
    <w:sig w:usb0="00000000" w:usb1="00000000" w:usb2="00000000" w:usb3="00000000" w:csb0="80000000" w:csb1="00000000"/>
    <w:embedRegular r:id="rId3" w:fontKey="{1AF61593-4281-44EC-94BF-869B4F65B824}"/>
  </w:font>
  <w:font w:name="Calibri">
    <w:panose1 w:val="020F0502020204030204"/>
    <w:charset w:val="00"/>
    <w:family w:val="swiss"/>
    <w:pitch w:val="default"/>
    <w:sig w:usb0="E4002EFF" w:usb1="C000247B" w:usb2="00000009" w:usb3="00000000" w:csb0="200001FF" w:csb1="00000000"/>
    <w:embedRegular r:id="rId4" w:fontKey="{120F8688-9F3E-4944-A7E2-A099986F8D9D}"/>
  </w:font>
  <w:font w:name="等线">
    <w:altName w:val="Microsoft YaHei"/>
    <w:panose1 w:val="00000000000000000000"/>
    <w:charset w:val="86"/>
    <w:family w:val="auto"/>
    <w:pitch w:val="default"/>
    <w:sig w:usb0="00000000" w:usb1="00000000" w:usb2="00000000" w:usb3="00000000" w:csb0="00000000" w:csb1="00000000"/>
  </w:font>
  <w:font w:name="Aptos">
    <w:panose1 w:val="020B0004020202020204"/>
    <w:charset w:val="86"/>
    <w:family w:val="swiss"/>
    <w:pitch w:val="default"/>
    <w:sig w:usb0="20000287" w:usb1="00000003" w:usb2="00000000" w:usb3="00000000" w:csb0="2000019F" w:csb1="00000000"/>
    <w:embedRegular r:id="rId5" w:fontKey="{903DFC63-A7F3-4753-8674-C3D0A6879C73}"/>
  </w:font>
  <w:font w:name="Aptos">
    <w:panose1 w:val="020B0004020202020204"/>
    <w:charset w:val="00"/>
    <w:family w:val="auto"/>
    <w:pitch w:val="default"/>
    <w:sig w:usb0="20000287" w:usb1="00000003" w:usb2="00000000" w:usb3="00000000" w:csb0="2000019F" w:csb1="00000000"/>
    <w:embedRegular r:id="rId6" w:fontKey="{D85A111A-A4A3-4E9C-B696-A2F02E04F794}"/>
  </w:font>
  <w:font w:name="Aptos Display">
    <w:panose1 w:val="020B0004020202020204"/>
    <w:charset w:val="00"/>
    <w:family w:val="swiss"/>
    <w:pitch w:val="default"/>
    <w:sig w:usb0="20000287" w:usb1="00000003" w:usb2="00000000" w:usb3="00000000" w:csb0="2000019F" w:csb1="00000000"/>
    <w:embedRegular r:id="rId7" w:fontKey="{B14723F3-B1DC-4F7B-A14F-2223570F4C59}"/>
  </w:font>
  <w:font w:name="等线 Light">
    <w:altName w:val="Segoe Print"/>
    <w:panose1 w:val="00000000000000000000"/>
    <w:charset w:val="00"/>
    <w:family w:val="auto"/>
    <w:pitch w:val="default"/>
    <w:sig w:usb0="00000000" w:usb1="00000000" w:usb2="00000000" w:usb3="00000000" w:csb0="00000000" w:csb1="00000000"/>
    <w:embedRegular r:id="rId8" w:fontKey="{914BC5C6-9667-4233-865C-73A1EC51AEFD}"/>
  </w:font>
  <w:font w:name="Symbol">
    <w:panose1 w:val="05050102010706020507"/>
    <w:charset w:val="02"/>
    <w:family w:val="roman"/>
    <w:pitch w:val="default"/>
    <w:sig w:usb0="00000000" w:usb1="00000000" w:usb2="00000000" w:usb3="00000000" w:csb0="80000000" w:csb1="00000000"/>
    <w:embedRegular r:id="rId9" w:fontKey="{2AAE9616-F17C-4287-9A33-EC5422DCB462}"/>
  </w:font>
  <w:font w:name="Noto Sans Symbols">
    <w:altName w:val="Times New Roman"/>
    <w:panose1 w:val="00000000000000000000"/>
    <w:charset w:val="00"/>
    <w:family w:val="auto"/>
    <w:pitch w:val="default"/>
    <w:sig w:usb0="00000000" w:usb1="00000000" w:usb2="00000000" w:usb3="00000000" w:csb0="00000000" w:csb1="00000000"/>
    <w:embedRegular r:id="rId10" w:fontKey="{AD8242CA-61B8-46F1-88DA-8BB35A760078}"/>
  </w:font>
  <w:font w:name="NimbusRomNo9L">
    <w:altName w:val="Calibri"/>
    <w:panose1 w:val="00000000000000000000"/>
    <w:charset w:val="00"/>
    <w:family w:val="auto"/>
    <w:pitch w:val="default"/>
    <w:sig w:usb0="00000000" w:usb1="00000000" w:usb2="00000000" w:usb3="00000000" w:csb0="00000001"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embedRegular r:id="rId11" w:fontKey="{C1B58976-0087-467B-BE74-DA004DDFA41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1D8873">
    <w:pPr>
      <w:pStyle w:val="17"/>
      <w:jc w:val="right"/>
      <w:rPr>
        <w:rFonts w:ascii="Times New Roman" w:hAnsi="Times New Roman" w:cs="Times New Roman"/>
      </w:rPr>
    </w:pPr>
    <w:r>
      <w:rPr>
        <w:rFonts w:ascii="Times New Roman" w:hAnsi="Times New Roman" w:cs="Times New Roman"/>
        <w14:ligatures w14:val="standardContextual"/>
      </w:rPr>
      <mc:AlternateContent>
        <mc:Choice Requires="wps">
          <w:drawing>
            <wp:anchor distT="0" distB="0" distL="0" distR="0" simplePos="0" relativeHeight="251661312" behindDoc="0" locked="0" layoutInCell="1" allowOverlap="1">
              <wp:simplePos x="0" y="0"/>
              <wp:positionH relativeFrom="page">
                <wp:align>right</wp:align>
              </wp:positionH>
              <wp:positionV relativeFrom="page">
                <wp:align>bottom</wp:align>
              </wp:positionV>
              <wp:extent cx="1106805" cy="357505"/>
              <wp:effectExtent l="0" t="0" r="0" b="0"/>
              <wp:wrapNone/>
              <wp:docPr id="1473048651" name="Text Box 3" descr="Official Use Only"/>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37D3C696">
                          <w:pPr>
                            <w:spacing w:after="0"/>
                            <w:rPr>
                              <w:rFonts w:ascii="Calibri" w:hAnsi="Calibri" w:eastAsia="Calibri" w:cs="Calibri"/>
                              <w:color w:val="000000"/>
                              <w:sz w:val="20"/>
                              <w:szCs w:val="20"/>
                            </w:rPr>
                          </w:pPr>
                          <w:r>
                            <w:rPr>
                              <w:rFonts w:ascii="Calibri" w:hAnsi="Calibri" w:eastAsia="Calibri" w:cs="Calibri"/>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spAutoFit/>
                    </wps:bodyPr>
                  </wps:wsp>
                </a:graphicData>
              </a:graphic>
            </wp:anchor>
          </w:drawing>
        </mc:Choice>
        <mc:Fallback>
          <w:pict>
            <v:shape id="Text Box 3" o:spid="_x0000_s1026" o:spt="202" alt="Official Use Only" type="#_x0000_t202" style="position:absolute;left:0pt;height:28.15pt;width:87.15pt;mso-position-horizontal:right;mso-position-horizontal-relative:page;mso-position-vertical:bottom;mso-position-vertical-relative:page;mso-wrap-style:none;z-index:251661312;v-text-anchor:bottom;mso-width-relative:page;mso-height-relative:page;" filled="f" stroked="f" coordsize="21600,21600" o:gfxdata="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7hlqtYAAAAEAQAADwAAAAAAAAABACAAAAAiAAAAZHJzL2Rv&#10;d25yZXYueG1sUEsBAhQAFAAAAAgAh07iQPUyb0s8AgAAdwQAAA4AAAAAAAAAAQAgAAAAJQEAAGRy&#10;cy9lMm9Eb2MueG1sUEsFBgAAAAAGAAYAWQEAANMFAAAAAA==&#10;">
              <v:fill on="f" focussize="0,0"/>
              <v:stroke on="f"/>
              <v:imagedata o:title=""/>
              <o:lock v:ext="edit" aspectratio="f"/>
              <v:textbox inset="0mm,0mm,20pt,15pt" style="mso-fit-shape-to-text:t;">
                <w:txbxContent>
                  <w:p w14:paraId="37D3C696">
                    <w:pPr>
                      <w:spacing w:after="0"/>
                      <w:rPr>
                        <w:rFonts w:ascii="Calibri" w:hAnsi="Calibri" w:eastAsia="Calibri" w:cs="Calibri"/>
                        <w:color w:val="000000"/>
                        <w:sz w:val="20"/>
                        <w:szCs w:val="20"/>
                      </w:rPr>
                    </w:pPr>
                    <w:r>
                      <w:rPr>
                        <w:rFonts w:ascii="Calibri" w:hAnsi="Calibri" w:eastAsia="Calibri" w:cs="Calibri"/>
                        <w:color w:val="000000"/>
                        <w:sz w:val="20"/>
                        <w:szCs w:val="20"/>
                      </w:rPr>
                      <w:t>Official Use Only</w:t>
                    </w:r>
                  </w:p>
                </w:txbxContent>
              </v:textbox>
            </v:shape>
          </w:pict>
        </mc:Fallback>
      </mc:AlternateContent>
    </w:r>
    <w:sdt>
      <w:sdtPr>
        <w:rPr>
          <w:rFonts w:ascii="Times New Roman" w:hAnsi="Times New Roman" w:cs="Times New Roman"/>
        </w:rPr>
        <w:id w:val="439425274"/>
        <w:docPartObj>
          <w:docPartGallery w:val="AutoText"/>
        </w:docPartObj>
      </w:sdtPr>
      <w:sdtEndPr>
        <w:rPr>
          <w:rFonts w:ascii="Times New Roman" w:hAnsi="Times New Roman" w:cs="Times New Roman"/>
        </w:rPr>
      </w:sdtEndPr>
      <w:sdtContent>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sdtContent>
    </w:sdt>
  </w:p>
  <w:p w14:paraId="103CD88A">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1C7FE">
    <w:pPr>
      <w:pStyle w:val="17"/>
    </w:pPr>
    <w:r>
      <w:rPr>
        <w14:ligatures w14:val="standardContextual"/>
      </w:rPr>
      <mc:AlternateContent>
        <mc:Choice Requires="wps">
          <w:drawing>
            <wp:anchor distT="0" distB="0" distL="0" distR="0" simplePos="0" relativeHeight="251660288" behindDoc="0" locked="0" layoutInCell="1" allowOverlap="1">
              <wp:simplePos x="0" y="0"/>
              <wp:positionH relativeFrom="page">
                <wp:align>right</wp:align>
              </wp:positionH>
              <wp:positionV relativeFrom="page">
                <wp:align>bottom</wp:align>
              </wp:positionV>
              <wp:extent cx="1106805" cy="357505"/>
              <wp:effectExtent l="0" t="0" r="0" b="0"/>
              <wp:wrapNone/>
              <wp:docPr id="544845774" name="Text Box 2" descr="Official Use Only"/>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252CDFE5">
                          <w:pPr>
                            <w:spacing w:after="0"/>
                            <w:rPr>
                              <w:rFonts w:ascii="Calibri" w:hAnsi="Calibri" w:eastAsia="Calibri" w:cs="Calibri"/>
                              <w:color w:val="000000"/>
                              <w:sz w:val="20"/>
                              <w:szCs w:val="20"/>
                            </w:rPr>
                          </w:pPr>
                          <w:r>
                            <w:rPr>
                              <w:rFonts w:ascii="Calibri" w:hAnsi="Calibri" w:eastAsia="Calibri" w:cs="Calibri"/>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spAutoFit/>
                    </wps:bodyPr>
                  </wps:wsp>
                </a:graphicData>
              </a:graphic>
            </wp:anchor>
          </w:drawing>
        </mc:Choice>
        <mc:Fallback>
          <w:pict>
            <v:shape id="Text Box 2" o:spid="_x0000_s1026" o:spt="202" alt="Official Use Only" type="#_x0000_t202" style="position:absolute;left:0pt;height:28.15pt;width:87.15pt;mso-position-horizontal:right;mso-position-horizontal-relative:page;mso-position-vertical:bottom;mso-position-vertical-relative:page;mso-wrap-style:none;z-index:251660288;v-text-anchor:bottom;mso-width-relative:page;mso-height-relative:page;" filled="f" stroked="f" coordsize="21600,21600" o:gfxdata="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7hlqtYAAAAEAQAADwAAAAAAAAABACAAAAAiAAAAZHJzL2Rv&#10;d25yZXYueG1sUEsBAhQAFAAAAAgAh07iQAayfRo8AgAAdgQAAA4AAAAAAAAAAQAgAAAAJQEAAGRy&#10;cy9lMm9Eb2MueG1sUEsFBgAAAAAGAAYAWQEAANMFAAAAAA==&#10;">
              <v:fill on="f" focussize="0,0"/>
              <v:stroke on="f"/>
              <v:imagedata o:title=""/>
              <o:lock v:ext="edit" aspectratio="f"/>
              <v:textbox inset="0mm,0mm,20pt,15pt" style="mso-fit-shape-to-text:t;">
                <w:txbxContent>
                  <w:p w14:paraId="252CDFE5">
                    <w:pPr>
                      <w:spacing w:after="0"/>
                      <w:rPr>
                        <w:rFonts w:ascii="Calibri" w:hAnsi="Calibri" w:eastAsia="Calibri" w:cs="Calibri"/>
                        <w:color w:val="000000"/>
                        <w:sz w:val="20"/>
                        <w:szCs w:val="20"/>
                      </w:rPr>
                    </w:pPr>
                    <w:r>
                      <w:rPr>
                        <w:rFonts w:ascii="Calibri" w:hAnsi="Calibri" w:eastAsia="Calibri" w:cs="Calibri"/>
                        <w:color w:val="000000"/>
                        <w:sz w:val="20"/>
                        <w:szCs w:val="20"/>
                      </w:rPr>
                      <w:t>Official Use Only</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219F06">
    <w:pPr>
      <w:pStyle w:val="17"/>
    </w:pPr>
    <w:r>
      <w:rPr>
        <w14:ligatures w14:val="standardContextual"/>
      </w:rPr>
      <mc:AlternateContent>
        <mc:Choice Requires="wps">
          <w:drawing>
            <wp:anchor distT="0" distB="0" distL="0" distR="0" simplePos="0" relativeHeight="251659264" behindDoc="0" locked="0" layoutInCell="1" allowOverlap="1">
              <wp:simplePos x="0" y="0"/>
              <wp:positionH relativeFrom="page">
                <wp:align>right</wp:align>
              </wp:positionH>
              <wp:positionV relativeFrom="page">
                <wp:align>bottom</wp:align>
              </wp:positionV>
              <wp:extent cx="1106805" cy="357505"/>
              <wp:effectExtent l="0" t="0" r="0" b="0"/>
              <wp:wrapNone/>
              <wp:docPr id="239165179" name="Text Box 1" descr="Official Use Only"/>
              <wp:cNvGraphicFramePr/>
              <a:graphic xmlns:a="http://schemas.openxmlformats.org/drawingml/2006/main">
                <a:graphicData uri="http://schemas.microsoft.com/office/word/2010/wordprocessingShape">
                  <wps:wsp>
                    <wps:cNvSpPr txBox="1"/>
                    <wps:spPr>
                      <a:xfrm>
                        <a:off x="0" y="0"/>
                        <a:ext cx="1106805" cy="357505"/>
                      </a:xfrm>
                      <a:prstGeom prst="rect">
                        <a:avLst/>
                      </a:prstGeom>
                      <a:noFill/>
                      <a:ln>
                        <a:noFill/>
                      </a:ln>
                    </wps:spPr>
                    <wps:txbx>
                      <w:txbxContent>
                        <w:p w14:paraId="4F8CCD59">
                          <w:pPr>
                            <w:spacing w:after="0"/>
                            <w:rPr>
                              <w:rFonts w:ascii="Calibri" w:hAnsi="Calibri" w:eastAsia="Calibri" w:cs="Calibri"/>
                              <w:color w:val="000000"/>
                              <w:sz w:val="20"/>
                              <w:szCs w:val="20"/>
                            </w:rPr>
                          </w:pPr>
                          <w:r>
                            <w:rPr>
                              <w:rFonts w:ascii="Calibri" w:hAnsi="Calibri" w:eastAsia="Calibri" w:cs="Calibri"/>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spAutoFit/>
                    </wps:bodyPr>
                  </wps:wsp>
                </a:graphicData>
              </a:graphic>
            </wp:anchor>
          </w:drawing>
        </mc:Choice>
        <mc:Fallback>
          <w:pict>
            <v:shape id="Text Box 1" o:spid="_x0000_s1026" o:spt="202" alt="Official Use Only" type="#_x0000_t202" style="position:absolute;left:0pt;height:28.15pt;width:87.15pt;mso-position-horizontal:right;mso-position-horizontal-relative:page;mso-position-vertical:bottom;mso-position-vertical-relative:page;mso-wrap-style:none;z-index:251659264;v-text-anchor:bottom;mso-width-relative:page;mso-height-relative:page;" filled="f" stroked="f" coordsize="21600,21600" o:gfxdata="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7hlqtYAAAAEAQAADwAAAAAAAAABACAAAAAiAAAAZHJzL2Rv&#10;d25yZXYueG1sUEsBAhQAFAAAAAgAh07iQCSk5QM8AgAAdgQAAA4AAAAAAAAAAQAgAAAAJQEAAGRy&#10;cy9lMm9Eb2MueG1sUEsFBgAAAAAGAAYAWQEAANMFAAAAAA==&#10;">
              <v:fill on="f" focussize="0,0"/>
              <v:stroke on="f"/>
              <v:imagedata o:title=""/>
              <o:lock v:ext="edit" aspectratio="f"/>
              <v:textbox inset="0mm,0mm,20pt,15pt" style="mso-fit-shape-to-text:t;">
                <w:txbxContent>
                  <w:p w14:paraId="4F8CCD59">
                    <w:pPr>
                      <w:spacing w:after="0"/>
                      <w:rPr>
                        <w:rFonts w:ascii="Calibri" w:hAnsi="Calibri" w:eastAsia="Calibri" w:cs="Calibri"/>
                        <w:color w:val="000000"/>
                        <w:sz w:val="20"/>
                        <w:szCs w:val="20"/>
                      </w:rPr>
                    </w:pPr>
                    <w:r>
                      <w:rPr>
                        <w:rFonts w:ascii="Calibri" w:hAnsi="Calibri" w:eastAsia="Calibri" w:cs="Calibri"/>
                        <w:color w:val="000000"/>
                        <w:sz w:val="20"/>
                        <w:szCs w:val="20"/>
                      </w:rPr>
                      <w:t>Official Use Only</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4">
    <w:p>
      <w:pPr>
        <w:spacing w:before="0" w:after="0" w:line="259" w:lineRule="auto"/>
      </w:pPr>
      <w:r>
        <w:separator/>
      </w:r>
    </w:p>
  </w:footnote>
  <w:footnote w:type="continuationSeparator" w:id="5">
    <w:p>
      <w:pPr>
        <w:spacing w:before="0" w:after="0" w:line="259" w:lineRule="auto"/>
      </w:pPr>
      <w:r>
        <w:continuationSeparator/>
      </w:r>
    </w:p>
  </w:footnote>
  <w:footnote w:id="0">
    <w:p w14:paraId="6CE32313">
      <w:pPr>
        <w:pBdr>
          <w:top w:val="none" w:color="auto" w:sz="0" w:space="0"/>
          <w:left w:val="none" w:color="auto" w:sz="0" w:space="0"/>
          <w:bottom w:val="none" w:color="auto" w:sz="0" w:space="0"/>
          <w:right w:val="none" w:color="auto" w:sz="0" w:space="0"/>
          <w:between w:val="none" w:color="auto" w:sz="0" w:space="0"/>
        </w:pBdr>
        <w:rPr>
          <w:color w:val="000000"/>
          <w:sz w:val="20"/>
          <w:szCs w:val="20"/>
        </w:rPr>
      </w:pPr>
      <w:r>
        <w:rPr>
          <w:rStyle w:val="18"/>
        </w:rPr>
        <w:footnoteRef/>
      </w:r>
      <w:sdt>
        <w:sdtPr>
          <w:tag w:val="goog_rdk_1947"/>
          <w:id w:val="1972635560"/>
        </w:sdtPr>
        <w:sdtContent>
          <w:r>
            <w:rPr>
              <w:color w:val="000000"/>
              <w:sz w:val="20"/>
              <w:szCs w:val="20"/>
            </w:rPr>
            <w:t xml:space="preserve"> </w:t>
          </w:r>
        </w:sdtContent>
      </w:sdt>
      <w:r>
        <w:rPr>
          <w:color w:val="000000"/>
          <w:sz w:val="20"/>
          <w:szCs w:val="20"/>
        </w:rPr>
        <w:t xml:space="preserve">The World Bank should also be notified within 48 hours of learning about </w:t>
      </w:r>
      <w:r>
        <w:rPr>
          <w:b/>
          <w:color w:val="000000"/>
          <w:sz w:val="20"/>
          <w:szCs w:val="20"/>
        </w:rPr>
        <w:t xml:space="preserve">any project-related grievance regarding an incident or accident </w:t>
      </w:r>
      <w:r>
        <w:rPr>
          <w:color w:val="000000"/>
          <w:sz w:val="20"/>
          <w:szCs w:val="20"/>
        </w:rPr>
        <w:t xml:space="preserve">which has, or is likely to have, a significant adverse effect on the environment, the affected communities, the public or workers, including, inter alia, cases of sexual exploitation and abuse (SEA), sexual harassment (SH), and accidents that result in death, serious or multiple injury. Refer to ESCP.  </w:t>
      </w:r>
    </w:p>
  </w:footnote>
  <w:footnote w:id="1">
    <w:p w14:paraId="3348B091">
      <w:pPr>
        <w:pStyle w:val="20"/>
      </w:pPr>
      <w:r>
        <w:rPr>
          <w:rStyle w:val="18"/>
          <w:rFonts w:eastAsiaTheme="majorEastAsia"/>
        </w:rPr>
        <w:footnoteRef/>
      </w:r>
      <w:r>
        <w:t xml:space="preserve"> Toxic / hazardous material includes and is not limited to asbestos, toxic paints, removal of lead paint, etc.</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93743AD"/>
    <w:multiLevelType w:val="multilevel"/>
    <w:tmpl w:val="093743A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
    <w:nsid w:val="0ED5439A"/>
    <w:multiLevelType w:val="multilevel"/>
    <w:tmpl w:val="0ED5439A"/>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11A4641C"/>
    <w:multiLevelType w:val="multilevel"/>
    <w:tmpl w:val="11A4641C"/>
    <w:lvl w:ilvl="0" w:tentative="0">
      <w:start w:val="1"/>
      <w:numFmt w:val="bullet"/>
      <w:lvlText w:val="-"/>
      <w:lvlJc w:val="left"/>
      <w:pPr>
        <w:ind w:left="720" w:hanging="360"/>
      </w:pPr>
      <w:rPr>
        <w:rFonts w:hint="default" w:ascii="NimbusRomNo9L" w:hAnsi="NimbusRomNo9L" w:cs="NimbusRomNo9L"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131D659C"/>
    <w:multiLevelType w:val="multilevel"/>
    <w:tmpl w:val="131D659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lowerLetter"/>
      <w:lvlText w:val="%2)"/>
      <w:lvlJc w:val="left"/>
      <w:pPr>
        <w:ind w:left="360" w:hanging="360"/>
      </w:pPr>
      <w:rPr>
        <w:rFonts w:hint="default"/>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4">
    <w:nsid w:val="158D69BC"/>
    <w:multiLevelType w:val="multilevel"/>
    <w:tmpl w:val="158D69BC"/>
    <w:lvl w:ilvl="0" w:tentative="0">
      <w:start w:val="1"/>
      <w:numFmt w:val="bullet"/>
      <w:lvlText w:val=""/>
      <w:lvlJc w:val="left"/>
      <w:pPr>
        <w:tabs>
          <w:tab w:val="left" w:pos="720"/>
        </w:tabs>
        <w:ind w:left="720" w:hanging="720"/>
      </w:pPr>
      <w:rPr>
        <w:rFonts w:hint="default" w:ascii="Wingdings" w:hAnsi="Wingdings"/>
      </w:r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5">
    <w:nsid w:val="1688274A"/>
    <w:multiLevelType w:val="multilevel"/>
    <w:tmpl w:val="1688274A"/>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6">
    <w:nsid w:val="16D401D3"/>
    <w:multiLevelType w:val="multilevel"/>
    <w:tmpl w:val="16D401D3"/>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18471F37"/>
    <w:multiLevelType w:val="multilevel"/>
    <w:tmpl w:val="18471F37"/>
    <w:lvl w:ilvl="0" w:tentative="0">
      <w:start w:val="0"/>
      <w:numFmt w:val="bullet"/>
      <w:lvlText w:val="•"/>
      <w:lvlJc w:val="left"/>
      <w:pPr>
        <w:ind w:left="720" w:hanging="360"/>
      </w:pPr>
      <w:rPr>
        <w:rFonts w:ascii="Times New Roman" w:hAnsi="Times New Roman" w:eastAsia="Times New Roman" w:cs="Times New Roman"/>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9406392"/>
    <w:multiLevelType w:val="multilevel"/>
    <w:tmpl w:val="19406392"/>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197C62DD"/>
    <w:multiLevelType w:val="multilevel"/>
    <w:tmpl w:val="197C62D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
    <w:nsid w:val="1A0A19D6"/>
    <w:multiLevelType w:val="multilevel"/>
    <w:tmpl w:val="1A0A19D6"/>
    <w:lvl w:ilvl="0" w:tentative="0">
      <w:start w:val="1"/>
      <w:numFmt w:val="bullet"/>
      <w:lvlText w:val="-"/>
      <w:lvlJc w:val="left"/>
      <w:pPr>
        <w:ind w:left="1440" w:hanging="360"/>
      </w:pPr>
      <w:rPr>
        <w:rFonts w:hint="default" w:ascii="NimbusRomNo9L" w:hAnsi="NimbusRomNo9L" w:cs="NimbusRomNo9L" w:eastAsiaTheme="minorHAnsi"/>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1">
    <w:nsid w:val="1A520167"/>
    <w:multiLevelType w:val="multilevel"/>
    <w:tmpl w:val="1A520167"/>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212F4047"/>
    <w:multiLevelType w:val="multilevel"/>
    <w:tmpl w:val="212F4047"/>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3">
    <w:nsid w:val="23C920A1"/>
    <w:multiLevelType w:val="multilevel"/>
    <w:tmpl w:val="23C920A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24AC266B"/>
    <w:multiLevelType w:val="multilevel"/>
    <w:tmpl w:val="24AC266B"/>
    <w:lvl w:ilvl="0" w:tentative="0">
      <w:start w:val="6"/>
      <w:numFmt w:val="upp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25711A25"/>
    <w:multiLevelType w:val="multilevel"/>
    <w:tmpl w:val="25711A2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6">
    <w:nsid w:val="259F7137"/>
    <w:multiLevelType w:val="multilevel"/>
    <w:tmpl w:val="259F7137"/>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28B90545"/>
    <w:multiLevelType w:val="multilevel"/>
    <w:tmpl w:val="28B9054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2D56786D"/>
    <w:multiLevelType w:val="multilevel"/>
    <w:tmpl w:val="2D56786D"/>
    <w:lvl w:ilvl="0" w:tentative="0">
      <w:start w:val="1"/>
      <w:numFmt w:val="bullet"/>
      <w:lvlText w:val=""/>
      <w:lvlJc w:val="left"/>
      <w:pPr>
        <w:ind w:left="720" w:hanging="360"/>
      </w:pPr>
      <w:rPr>
        <w:rFonts w:hint="default" w:ascii="Wingdings" w:hAnsi="Wingding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364536C4"/>
    <w:multiLevelType w:val="multilevel"/>
    <w:tmpl w:val="364536C4"/>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36C31282"/>
    <w:multiLevelType w:val="multilevel"/>
    <w:tmpl w:val="36C31282"/>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38485BEA"/>
    <w:multiLevelType w:val="multilevel"/>
    <w:tmpl w:val="38485BEA"/>
    <w:lvl w:ilvl="0" w:tentative="0">
      <w:start w:val="1"/>
      <w:numFmt w:val="bullet"/>
      <w:lvlText w:val=""/>
      <w:lvlJc w:val="left"/>
      <w:pPr>
        <w:tabs>
          <w:tab w:val="left" w:pos="720"/>
        </w:tabs>
        <w:ind w:left="720" w:hanging="360"/>
      </w:pPr>
      <w:rPr>
        <w:rFonts w:hint="default" w:ascii="Symbol" w:hAnsi="Symbol"/>
        <w:sz w:val="20"/>
      </w:rPr>
    </w:lvl>
    <w:lvl w:ilvl="1" w:tentative="0">
      <w:start w:val="1999"/>
      <w:numFmt w:val="bullet"/>
      <w:lvlText w:val="-"/>
      <w:lvlJc w:val="left"/>
      <w:pPr>
        <w:ind w:left="360" w:hanging="360"/>
      </w:pPr>
      <w:rPr>
        <w:rFonts w:hint="default" w:ascii="Calibri" w:hAnsi="Calibri"/>
        <w:sz w:val="16"/>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
    <w:nsid w:val="39984C55"/>
    <w:multiLevelType w:val="multilevel"/>
    <w:tmpl w:val="39984C55"/>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3ECD792C"/>
    <w:multiLevelType w:val="multilevel"/>
    <w:tmpl w:val="3ECD792C"/>
    <w:lvl w:ilvl="0" w:tentative="0">
      <w:start w:val="1999"/>
      <w:numFmt w:val="bullet"/>
      <w:lvlText w:val="-"/>
      <w:lvlJc w:val="left"/>
      <w:pPr>
        <w:tabs>
          <w:tab w:val="left" w:pos="360"/>
        </w:tabs>
        <w:ind w:left="360" w:hanging="360"/>
      </w:pPr>
      <w:rPr>
        <w:rFonts w:hint="default" w:ascii="Calibri" w:hAnsi="Calibri"/>
        <w:sz w:val="16"/>
      </w:rPr>
    </w:lvl>
    <w:lvl w:ilvl="1" w:tentative="0">
      <w:start w:val="1"/>
      <w:numFmt w:val="lowerLetter"/>
      <w:lvlText w:val="%2."/>
      <w:lvlJc w:val="left"/>
      <w:pPr>
        <w:tabs>
          <w:tab w:val="left" w:pos="1080"/>
        </w:tabs>
        <w:ind w:left="1080" w:hanging="360"/>
      </w:pPr>
    </w:lvl>
    <w:lvl w:ilvl="2" w:tentative="0">
      <w:start w:val="1"/>
      <w:numFmt w:val="lowerRoman"/>
      <w:lvlText w:val="%3."/>
      <w:lvlJc w:val="right"/>
      <w:pPr>
        <w:tabs>
          <w:tab w:val="left" w:pos="1800"/>
        </w:tabs>
        <w:ind w:left="1800" w:hanging="180"/>
      </w:pPr>
    </w:lvl>
    <w:lvl w:ilvl="3" w:tentative="0">
      <w:start w:val="1"/>
      <w:numFmt w:val="decimal"/>
      <w:lvlText w:val="%4."/>
      <w:lvlJc w:val="left"/>
      <w:pPr>
        <w:tabs>
          <w:tab w:val="left" w:pos="2520"/>
        </w:tabs>
        <w:ind w:left="2520" w:hanging="360"/>
      </w:pPr>
    </w:lvl>
    <w:lvl w:ilvl="4" w:tentative="0">
      <w:start w:val="1"/>
      <w:numFmt w:val="lowerLetter"/>
      <w:lvlText w:val="%5."/>
      <w:lvlJc w:val="left"/>
      <w:pPr>
        <w:tabs>
          <w:tab w:val="left" w:pos="3240"/>
        </w:tabs>
        <w:ind w:left="3240" w:hanging="360"/>
      </w:pPr>
    </w:lvl>
    <w:lvl w:ilvl="5" w:tentative="0">
      <w:start w:val="1"/>
      <w:numFmt w:val="lowerRoman"/>
      <w:lvlText w:val="%6."/>
      <w:lvlJc w:val="right"/>
      <w:pPr>
        <w:tabs>
          <w:tab w:val="left" w:pos="3960"/>
        </w:tabs>
        <w:ind w:left="3960" w:hanging="180"/>
      </w:pPr>
    </w:lvl>
    <w:lvl w:ilvl="6" w:tentative="0">
      <w:start w:val="1"/>
      <w:numFmt w:val="decimal"/>
      <w:lvlText w:val="%7."/>
      <w:lvlJc w:val="left"/>
      <w:pPr>
        <w:tabs>
          <w:tab w:val="left" w:pos="4680"/>
        </w:tabs>
        <w:ind w:left="4680" w:hanging="360"/>
      </w:pPr>
    </w:lvl>
    <w:lvl w:ilvl="7" w:tentative="0">
      <w:start w:val="1"/>
      <w:numFmt w:val="lowerLetter"/>
      <w:lvlText w:val="%8."/>
      <w:lvlJc w:val="left"/>
      <w:pPr>
        <w:tabs>
          <w:tab w:val="left" w:pos="5400"/>
        </w:tabs>
        <w:ind w:left="5400" w:hanging="360"/>
      </w:pPr>
    </w:lvl>
    <w:lvl w:ilvl="8" w:tentative="0">
      <w:start w:val="1"/>
      <w:numFmt w:val="lowerRoman"/>
      <w:lvlText w:val="%9."/>
      <w:lvlJc w:val="right"/>
      <w:pPr>
        <w:tabs>
          <w:tab w:val="left" w:pos="6120"/>
        </w:tabs>
        <w:ind w:left="6120" w:hanging="180"/>
      </w:pPr>
    </w:lvl>
  </w:abstractNum>
  <w:abstractNum w:abstractNumId="24">
    <w:nsid w:val="46376ADB"/>
    <w:multiLevelType w:val="multilevel"/>
    <w:tmpl w:val="46376ADB"/>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4C146F06"/>
    <w:multiLevelType w:val="multilevel"/>
    <w:tmpl w:val="4C146F06"/>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6">
    <w:nsid w:val="4CB33AF9"/>
    <w:multiLevelType w:val="multilevel"/>
    <w:tmpl w:val="4CB33AF9"/>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7">
    <w:nsid w:val="4D36681D"/>
    <w:multiLevelType w:val="multilevel"/>
    <w:tmpl w:val="4D36681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4ECC34CF"/>
    <w:multiLevelType w:val="multilevel"/>
    <w:tmpl w:val="4ECC34CF"/>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5895071F"/>
    <w:multiLevelType w:val="multilevel"/>
    <w:tmpl w:val="5895071F"/>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0">
    <w:nsid w:val="5B1876B3"/>
    <w:multiLevelType w:val="multilevel"/>
    <w:tmpl w:val="5B1876B3"/>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1">
    <w:nsid w:val="5D2472E3"/>
    <w:multiLevelType w:val="multilevel"/>
    <w:tmpl w:val="5D2472E3"/>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2">
    <w:nsid w:val="5DF710EF"/>
    <w:multiLevelType w:val="multilevel"/>
    <w:tmpl w:val="5DF710EF"/>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3">
    <w:nsid w:val="5E7C74B7"/>
    <w:multiLevelType w:val="multilevel"/>
    <w:tmpl w:val="5E7C74B7"/>
    <w:lvl w:ilvl="0" w:tentative="0">
      <w:start w:val="1"/>
      <w:numFmt w:val="bullet"/>
      <w:lvlText w:val="●"/>
      <w:lvlJc w:val="left"/>
      <w:pPr>
        <w:ind w:left="72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34">
    <w:nsid w:val="6506674D"/>
    <w:multiLevelType w:val="multilevel"/>
    <w:tmpl w:val="6506674D"/>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5">
    <w:nsid w:val="65BA6131"/>
    <w:multiLevelType w:val="multilevel"/>
    <w:tmpl w:val="65BA6131"/>
    <w:lvl w:ilvl="0" w:tentative="0">
      <w:start w:val="1"/>
      <w:numFmt w:val="bullet"/>
      <w:lvlText w:val="-"/>
      <w:lvlJc w:val="left"/>
      <w:pPr>
        <w:ind w:left="1440" w:hanging="360"/>
      </w:pPr>
      <w:rPr>
        <w:rFonts w:hint="default" w:ascii="NimbusRomNo9L" w:hAnsi="NimbusRomNo9L" w:cs="NimbusRomNo9L" w:eastAsiaTheme="minorHAnsi"/>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36">
    <w:nsid w:val="707C2112"/>
    <w:multiLevelType w:val="multilevel"/>
    <w:tmpl w:val="707C2112"/>
    <w:lvl w:ilvl="0" w:tentative="0">
      <w:start w:val="1"/>
      <w:numFmt w:val="upperLetter"/>
      <w:lvlText w:val="%1."/>
      <w:lvlJc w:val="left"/>
      <w:pPr>
        <w:ind w:left="540" w:hanging="360"/>
      </w:pPr>
      <w:rPr>
        <w:rFonts w:hint="default"/>
      </w:rPr>
    </w:lvl>
    <w:lvl w:ilvl="1" w:tentative="0">
      <w:start w:val="1"/>
      <w:numFmt w:val="lowerLetter"/>
      <w:lvlText w:val="%2."/>
      <w:lvlJc w:val="left"/>
      <w:pPr>
        <w:ind w:left="810" w:hanging="360"/>
      </w:pPr>
    </w:lvl>
    <w:lvl w:ilvl="2" w:tentative="0">
      <w:start w:val="1"/>
      <w:numFmt w:val="lowerRoman"/>
      <w:lvlText w:val="%3."/>
      <w:lvlJc w:val="right"/>
      <w:pPr>
        <w:ind w:left="1530" w:hanging="180"/>
      </w:pPr>
    </w:lvl>
    <w:lvl w:ilvl="3" w:tentative="0">
      <w:start w:val="1"/>
      <w:numFmt w:val="decimal"/>
      <w:lvlText w:val="%4."/>
      <w:lvlJc w:val="left"/>
      <w:pPr>
        <w:ind w:left="2250" w:hanging="360"/>
      </w:pPr>
    </w:lvl>
    <w:lvl w:ilvl="4" w:tentative="0">
      <w:start w:val="1"/>
      <w:numFmt w:val="lowerLetter"/>
      <w:lvlText w:val="%5."/>
      <w:lvlJc w:val="left"/>
      <w:pPr>
        <w:ind w:left="2970" w:hanging="360"/>
      </w:pPr>
    </w:lvl>
    <w:lvl w:ilvl="5" w:tentative="0">
      <w:start w:val="1"/>
      <w:numFmt w:val="lowerRoman"/>
      <w:lvlText w:val="%6."/>
      <w:lvlJc w:val="right"/>
      <w:pPr>
        <w:ind w:left="3690" w:hanging="180"/>
      </w:pPr>
    </w:lvl>
    <w:lvl w:ilvl="6" w:tentative="0">
      <w:start w:val="1"/>
      <w:numFmt w:val="decimal"/>
      <w:lvlText w:val="%7."/>
      <w:lvlJc w:val="left"/>
      <w:pPr>
        <w:ind w:left="4410" w:hanging="360"/>
      </w:pPr>
    </w:lvl>
    <w:lvl w:ilvl="7" w:tentative="0">
      <w:start w:val="1"/>
      <w:numFmt w:val="lowerLetter"/>
      <w:lvlText w:val="%8."/>
      <w:lvlJc w:val="left"/>
      <w:pPr>
        <w:ind w:left="5130" w:hanging="360"/>
      </w:pPr>
    </w:lvl>
    <w:lvl w:ilvl="8" w:tentative="0">
      <w:start w:val="1"/>
      <w:numFmt w:val="lowerRoman"/>
      <w:lvlText w:val="%9."/>
      <w:lvlJc w:val="right"/>
      <w:pPr>
        <w:ind w:left="5850" w:hanging="180"/>
      </w:pPr>
    </w:lvl>
  </w:abstractNum>
  <w:abstractNum w:abstractNumId="37">
    <w:nsid w:val="708C0B45"/>
    <w:multiLevelType w:val="multilevel"/>
    <w:tmpl w:val="708C0B4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8">
    <w:nsid w:val="7091286E"/>
    <w:multiLevelType w:val="multilevel"/>
    <w:tmpl w:val="7091286E"/>
    <w:lvl w:ilvl="0" w:tentative="0">
      <w:start w:val="10"/>
      <w:numFmt w:val="bullet"/>
      <w:lvlText w:val="-"/>
      <w:lvlJc w:val="left"/>
      <w:pPr>
        <w:ind w:left="720" w:hanging="360"/>
      </w:pPr>
      <w:rPr>
        <w:rFonts w:hint="default" w:ascii="Calibri" w:hAnsi="Calibri" w:cs="Calibri" w:eastAsiaTheme="minorHAnsi"/>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9">
    <w:nsid w:val="7D992AFD"/>
    <w:multiLevelType w:val="multilevel"/>
    <w:tmpl w:val="7D992AFD"/>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26"/>
  </w:num>
  <w:num w:numId="2">
    <w:abstractNumId w:val="5"/>
  </w:num>
  <w:num w:numId="3">
    <w:abstractNumId w:val="32"/>
  </w:num>
  <w:num w:numId="4">
    <w:abstractNumId w:val="3"/>
  </w:num>
  <w:num w:numId="5">
    <w:abstractNumId w:val="27"/>
  </w:num>
  <w:num w:numId="6">
    <w:abstractNumId w:val="33"/>
  </w:num>
  <w:num w:numId="7">
    <w:abstractNumId w:val="18"/>
  </w:num>
  <w:num w:numId="8">
    <w:abstractNumId w:val="25"/>
  </w:num>
  <w:num w:numId="9">
    <w:abstractNumId w:val="7"/>
  </w:num>
  <w:num w:numId="10">
    <w:abstractNumId w:val="29"/>
  </w:num>
  <w:num w:numId="11">
    <w:abstractNumId w:val="20"/>
  </w:num>
  <w:num w:numId="12">
    <w:abstractNumId w:val="6"/>
  </w:num>
  <w:num w:numId="13">
    <w:abstractNumId w:val="12"/>
  </w:num>
  <w:num w:numId="14">
    <w:abstractNumId w:val="37"/>
  </w:num>
  <w:num w:numId="15">
    <w:abstractNumId w:val="4"/>
  </w:num>
  <w:num w:numId="16">
    <w:abstractNumId w:val="36"/>
  </w:num>
  <w:num w:numId="17">
    <w:abstractNumId w:val="13"/>
  </w:num>
  <w:num w:numId="18">
    <w:abstractNumId w:val="8"/>
  </w:num>
  <w:num w:numId="19">
    <w:abstractNumId w:val="23"/>
  </w:num>
  <w:num w:numId="20">
    <w:abstractNumId w:val="16"/>
  </w:num>
  <w:num w:numId="21">
    <w:abstractNumId w:val="11"/>
  </w:num>
  <w:num w:numId="22">
    <w:abstractNumId w:val="17"/>
  </w:num>
  <w:num w:numId="23">
    <w:abstractNumId w:val="30"/>
  </w:num>
  <w:num w:numId="24">
    <w:abstractNumId w:val="22"/>
  </w:num>
  <w:num w:numId="25">
    <w:abstractNumId w:val="14"/>
  </w:num>
  <w:num w:numId="26">
    <w:abstractNumId w:val="19"/>
  </w:num>
  <w:num w:numId="27">
    <w:abstractNumId w:val="28"/>
  </w:num>
  <w:num w:numId="28">
    <w:abstractNumId w:val="2"/>
  </w:num>
  <w:num w:numId="29">
    <w:abstractNumId w:val="21"/>
  </w:num>
  <w:num w:numId="30">
    <w:abstractNumId w:val="39"/>
  </w:num>
  <w:num w:numId="31">
    <w:abstractNumId w:val="35"/>
  </w:num>
  <w:num w:numId="32">
    <w:abstractNumId w:val="31"/>
  </w:num>
  <w:num w:numId="33">
    <w:abstractNumId w:val="1"/>
  </w:num>
  <w:num w:numId="34">
    <w:abstractNumId w:val="24"/>
  </w:num>
  <w:num w:numId="35">
    <w:abstractNumId w:val="10"/>
  </w:num>
  <w:num w:numId="36">
    <w:abstractNumId w:val="34"/>
  </w:num>
  <w:num w:numId="37">
    <w:abstractNumId w:val="9"/>
  </w:num>
  <w:num w:numId="38">
    <w:abstractNumId w:val="15"/>
  </w:num>
  <w:num w:numId="39">
    <w:abstractNumId w:val="38"/>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hyphenationZone w:val="425"/>
  <w:characterSpacingControl w:val="doNotCompress"/>
  <w:footnotePr>
    <w:footnote w:id="4"/>
    <w:footnote w:id="5"/>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5ADC"/>
    <w:rsid w:val="000060CF"/>
    <w:rsid w:val="00017816"/>
    <w:rsid w:val="00030E6A"/>
    <w:rsid w:val="0004162F"/>
    <w:rsid w:val="000418C9"/>
    <w:rsid w:val="0006128C"/>
    <w:rsid w:val="000621E3"/>
    <w:rsid w:val="00063F43"/>
    <w:rsid w:val="00064ECA"/>
    <w:rsid w:val="00065AFA"/>
    <w:rsid w:val="000B6F19"/>
    <w:rsid w:val="000C7529"/>
    <w:rsid w:val="000D36AE"/>
    <w:rsid w:val="000E2D68"/>
    <w:rsid w:val="000F036E"/>
    <w:rsid w:val="000F0E45"/>
    <w:rsid w:val="000F7D53"/>
    <w:rsid w:val="00124E91"/>
    <w:rsid w:val="00125839"/>
    <w:rsid w:val="0019796D"/>
    <w:rsid w:val="001A0AFD"/>
    <w:rsid w:val="001A0E18"/>
    <w:rsid w:val="001D7CFD"/>
    <w:rsid w:val="001F5BC3"/>
    <w:rsid w:val="00200D40"/>
    <w:rsid w:val="00211B83"/>
    <w:rsid w:val="00215A72"/>
    <w:rsid w:val="00234B42"/>
    <w:rsid w:val="002358D6"/>
    <w:rsid w:val="00242253"/>
    <w:rsid w:val="002835E9"/>
    <w:rsid w:val="002A2E97"/>
    <w:rsid w:val="002A6804"/>
    <w:rsid w:val="002B40A9"/>
    <w:rsid w:val="002D4392"/>
    <w:rsid w:val="003255C0"/>
    <w:rsid w:val="00327D16"/>
    <w:rsid w:val="00345A77"/>
    <w:rsid w:val="00350BF5"/>
    <w:rsid w:val="003A4137"/>
    <w:rsid w:val="003B1F56"/>
    <w:rsid w:val="003C6C48"/>
    <w:rsid w:val="004138EC"/>
    <w:rsid w:val="0042312C"/>
    <w:rsid w:val="00433A0B"/>
    <w:rsid w:val="00480CEB"/>
    <w:rsid w:val="00493423"/>
    <w:rsid w:val="0049503A"/>
    <w:rsid w:val="004A53CE"/>
    <w:rsid w:val="004B2774"/>
    <w:rsid w:val="00505825"/>
    <w:rsid w:val="00514565"/>
    <w:rsid w:val="0051649A"/>
    <w:rsid w:val="00535A02"/>
    <w:rsid w:val="0055200A"/>
    <w:rsid w:val="00554844"/>
    <w:rsid w:val="005565F0"/>
    <w:rsid w:val="00580DCF"/>
    <w:rsid w:val="005949C6"/>
    <w:rsid w:val="005A3387"/>
    <w:rsid w:val="005A6003"/>
    <w:rsid w:val="005C1C59"/>
    <w:rsid w:val="005C4D68"/>
    <w:rsid w:val="005D2AFC"/>
    <w:rsid w:val="005F0A25"/>
    <w:rsid w:val="005F1FDA"/>
    <w:rsid w:val="005F7F42"/>
    <w:rsid w:val="00642BF2"/>
    <w:rsid w:val="00676B91"/>
    <w:rsid w:val="006866D0"/>
    <w:rsid w:val="006A48A6"/>
    <w:rsid w:val="006C3C2A"/>
    <w:rsid w:val="006E50CE"/>
    <w:rsid w:val="006F546D"/>
    <w:rsid w:val="007027EA"/>
    <w:rsid w:val="007124C0"/>
    <w:rsid w:val="00724A34"/>
    <w:rsid w:val="0072715A"/>
    <w:rsid w:val="00741F47"/>
    <w:rsid w:val="007500DD"/>
    <w:rsid w:val="00754FDF"/>
    <w:rsid w:val="007624AB"/>
    <w:rsid w:val="00772072"/>
    <w:rsid w:val="00780240"/>
    <w:rsid w:val="00794344"/>
    <w:rsid w:val="007C060C"/>
    <w:rsid w:val="007F19C2"/>
    <w:rsid w:val="007F4999"/>
    <w:rsid w:val="00887098"/>
    <w:rsid w:val="00894C22"/>
    <w:rsid w:val="008A1229"/>
    <w:rsid w:val="008A2DFE"/>
    <w:rsid w:val="008B6589"/>
    <w:rsid w:val="008C5ADC"/>
    <w:rsid w:val="008E0A82"/>
    <w:rsid w:val="008F5D81"/>
    <w:rsid w:val="0092261A"/>
    <w:rsid w:val="00940A3E"/>
    <w:rsid w:val="00942564"/>
    <w:rsid w:val="00956B09"/>
    <w:rsid w:val="00973287"/>
    <w:rsid w:val="00973C08"/>
    <w:rsid w:val="00976157"/>
    <w:rsid w:val="009923A8"/>
    <w:rsid w:val="009B03C5"/>
    <w:rsid w:val="009D10F5"/>
    <w:rsid w:val="009D4413"/>
    <w:rsid w:val="009E542D"/>
    <w:rsid w:val="009F3064"/>
    <w:rsid w:val="00A16D1A"/>
    <w:rsid w:val="00A250DD"/>
    <w:rsid w:val="00A33E98"/>
    <w:rsid w:val="00A541CE"/>
    <w:rsid w:val="00A61857"/>
    <w:rsid w:val="00A65895"/>
    <w:rsid w:val="00A7433C"/>
    <w:rsid w:val="00AA5F25"/>
    <w:rsid w:val="00AB3B4C"/>
    <w:rsid w:val="00AB6578"/>
    <w:rsid w:val="00AC4318"/>
    <w:rsid w:val="00AD694D"/>
    <w:rsid w:val="00AF7B48"/>
    <w:rsid w:val="00B055F5"/>
    <w:rsid w:val="00B06DBF"/>
    <w:rsid w:val="00B240AA"/>
    <w:rsid w:val="00B25036"/>
    <w:rsid w:val="00B456F8"/>
    <w:rsid w:val="00B45AE7"/>
    <w:rsid w:val="00B51368"/>
    <w:rsid w:val="00B55421"/>
    <w:rsid w:val="00B80004"/>
    <w:rsid w:val="00BA176E"/>
    <w:rsid w:val="00BA3B0D"/>
    <w:rsid w:val="00BA6611"/>
    <w:rsid w:val="00BC59B0"/>
    <w:rsid w:val="00BF0066"/>
    <w:rsid w:val="00BF2FE9"/>
    <w:rsid w:val="00C406C0"/>
    <w:rsid w:val="00C759FE"/>
    <w:rsid w:val="00C95E5E"/>
    <w:rsid w:val="00CB029A"/>
    <w:rsid w:val="00CB12D8"/>
    <w:rsid w:val="00CC4C3C"/>
    <w:rsid w:val="00CE5D2D"/>
    <w:rsid w:val="00CF2D8F"/>
    <w:rsid w:val="00D06FBA"/>
    <w:rsid w:val="00D32B99"/>
    <w:rsid w:val="00D6230D"/>
    <w:rsid w:val="00D71EAB"/>
    <w:rsid w:val="00D82183"/>
    <w:rsid w:val="00DA5C56"/>
    <w:rsid w:val="00DC01C8"/>
    <w:rsid w:val="00DC3C8E"/>
    <w:rsid w:val="00DF2B0C"/>
    <w:rsid w:val="00E00480"/>
    <w:rsid w:val="00E00699"/>
    <w:rsid w:val="00E0660F"/>
    <w:rsid w:val="00E1540A"/>
    <w:rsid w:val="00E15A21"/>
    <w:rsid w:val="00E165EC"/>
    <w:rsid w:val="00E20A8C"/>
    <w:rsid w:val="00E21AD8"/>
    <w:rsid w:val="00E26A30"/>
    <w:rsid w:val="00E439CE"/>
    <w:rsid w:val="00EC0F91"/>
    <w:rsid w:val="00EC2A0C"/>
    <w:rsid w:val="00ED14DF"/>
    <w:rsid w:val="00EE054A"/>
    <w:rsid w:val="00EF122B"/>
    <w:rsid w:val="00F0118C"/>
    <w:rsid w:val="00F1423C"/>
    <w:rsid w:val="00F23F40"/>
    <w:rsid w:val="00F25BC7"/>
    <w:rsid w:val="00F83432"/>
    <w:rsid w:val="00F873C3"/>
    <w:rsid w:val="00F91B00"/>
    <w:rsid w:val="00FC6DCF"/>
    <w:rsid w:val="00FD239F"/>
    <w:rsid w:val="00FD7C38"/>
    <w:rsid w:val="00FE11F7"/>
    <w:rsid w:val="00FE3C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semiHidden="0" w:name="footnote text"/>
    <w:lsdException w:qFormat="1" w:uiPriority="99" w:semiHidden="0" w:name="annotation text"/>
    <w:lsdException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kern w:val="0"/>
      <w:sz w:val="22"/>
      <w:szCs w:val="22"/>
      <w:lang w:val="en-US" w:eastAsia="en-US" w:bidi="ar-SA"/>
      <w14:ligatures w14:val="none"/>
    </w:rPr>
  </w:style>
  <w:style w:type="paragraph" w:styleId="2">
    <w:name w:val="heading 1"/>
    <w:basedOn w:val="1"/>
    <w:next w:val="1"/>
    <w:link w:val="26"/>
    <w:qFormat/>
    <w:uiPriority w:val="9"/>
    <w:pPr>
      <w:keepNext/>
      <w:keepLines/>
      <w:spacing w:before="360" w:after="80"/>
      <w:outlineLvl w:val="0"/>
    </w:pPr>
    <w:rPr>
      <w:rFonts w:asciiTheme="majorHAnsi" w:hAnsiTheme="majorHAnsi" w:eastAsiaTheme="majorEastAsia" w:cstheme="majorBidi"/>
      <w:color w:val="104862" w:themeColor="accent1" w:themeShade="BF"/>
      <w:sz w:val="40"/>
      <w:szCs w:val="40"/>
    </w:rPr>
  </w:style>
  <w:style w:type="paragraph" w:styleId="3">
    <w:name w:val="heading 2"/>
    <w:basedOn w:val="1"/>
    <w:next w:val="1"/>
    <w:link w:val="27"/>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32"/>
      <w:szCs w:val="32"/>
    </w:rPr>
  </w:style>
  <w:style w:type="paragraph" w:styleId="4">
    <w:name w:val="heading 3"/>
    <w:basedOn w:val="1"/>
    <w:next w:val="1"/>
    <w:link w:val="28"/>
    <w:unhideWhenUsed/>
    <w:qFormat/>
    <w:uiPriority w:val="9"/>
    <w:pPr>
      <w:keepNext/>
      <w:keepLines/>
      <w:spacing w:before="160" w:after="80"/>
      <w:outlineLvl w:val="2"/>
    </w:pPr>
    <w:rPr>
      <w:rFonts w:eastAsiaTheme="majorEastAsia" w:cstheme="majorBidi"/>
      <w:color w:val="104862" w:themeColor="accent1" w:themeShade="BF"/>
      <w:sz w:val="28"/>
      <w:szCs w:val="28"/>
    </w:rPr>
  </w:style>
  <w:style w:type="paragraph" w:styleId="5">
    <w:name w:val="heading 4"/>
    <w:basedOn w:val="1"/>
    <w:next w:val="1"/>
    <w:link w:val="29"/>
    <w:semiHidden/>
    <w:unhideWhenUsed/>
    <w:qFormat/>
    <w:uiPriority w:val="9"/>
    <w:pPr>
      <w:keepNext/>
      <w:keepLines/>
      <w:spacing w:before="80" w:after="40"/>
      <w:outlineLvl w:val="3"/>
    </w:pPr>
    <w:rPr>
      <w:rFonts w:eastAsiaTheme="majorEastAsia" w:cstheme="majorBidi"/>
      <w:i/>
      <w:iCs/>
      <w:color w:val="104862" w:themeColor="accent1" w:themeShade="BF"/>
    </w:rPr>
  </w:style>
  <w:style w:type="paragraph" w:styleId="6">
    <w:name w:val="heading 5"/>
    <w:basedOn w:val="1"/>
    <w:next w:val="1"/>
    <w:link w:val="30"/>
    <w:semiHidden/>
    <w:unhideWhenUsed/>
    <w:qFormat/>
    <w:uiPriority w:val="9"/>
    <w:pPr>
      <w:keepNext/>
      <w:keepLines/>
      <w:spacing w:before="80" w:after="40"/>
      <w:outlineLvl w:val="4"/>
    </w:pPr>
    <w:rPr>
      <w:rFonts w:eastAsiaTheme="majorEastAsia" w:cstheme="majorBidi"/>
      <w:color w:val="104862" w:themeColor="accent1" w:themeShade="BF"/>
    </w:rPr>
  </w:style>
  <w:style w:type="paragraph" w:styleId="7">
    <w:name w:val="heading 6"/>
    <w:basedOn w:val="1"/>
    <w:next w:val="1"/>
    <w:link w:val="31"/>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32"/>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3"/>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34"/>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ody Text Indent"/>
    <w:basedOn w:val="1"/>
    <w:link w:val="51"/>
    <w:unhideWhenUsed/>
    <w:qFormat/>
    <w:uiPriority w:val="0"/>
    <w:pPr>
      <w:spacing w:after="120" w:line="240" w:lineRule="auto"/>
      <w:ind w:left="360"/>
    </w:pPr>
    <w:rPr>
      <w:rFonts w:ascii="Times New Roman" w:hAnsi="Times New Roman" w:eastAsia="Times New Roman" w:cs="Times New Roman"/>
      <w:sz w:val="24"/>
      <w:szCs w:val="24"/>
    </w:rPr>
  </w:style>
  <w:style w:type="character" w:styleId="14">
    <w:name w:val="annotation reference"/>
    <w:basedOn w:val="11"/>
    <w:unhideWhenUsed/>
    <w:qFormat/>
    <w:uiPriority w:val="99"/>
    <w:rPr>
      <w:sz w:val="16"/>
      <w:szCs w:val="16"/>
    </w:rPr>
  </w:style>
  <w:style w:type="paragraph" w:styleId="15">
    <w:name w:val="annotation text"/>
    <w:basedOn w:val="1"/>
    <w:link w:val="48"/>
    <w:unhideWhenUsed/>
    <w:qFormat/>
    <w:uiPriority w:val="99"/>
    <w:pPr>
      <w:spacing w:line="240" w:lineRule="auto"/>
    </w:pPr>
    <w:rPr>
      <w:sz w:val="20"/>
      <w:szCs w:val="20"/>
    </w:rPr>
  </w:style>
  <w:style w:type="paragraph" w:styleId="16">
    <w:name w:val="annotation subject"/>
    <w:basedOn w:val="15"/>
    <w:next w:val="15"/>
    <w:link w:val="49"/>
    <w:semiHidden/>
    <w:unhideWhenUsed/>
    <w:qFormat/>
    <w:uiPriority w:val="99"/>
    <w:rPr>
      <w:b/>
      <w:bCs/>
    </w:rPr>
  </w:style>
  <w:style w:type="paragraph" w:styleId="17">
    <w:name w:val="footer"/>
    <w:basedOn w:val="1"/>
    <w:link w:val="46"/>
    <w:unhideWhenUsed/>
    <w:qFormat/>
    <w:uiPriority w:val="99"/>
    <w:pPr>
      <w:tabs>
        <w:tab w:val="center" w:pos="4680"/>
        <w:tab w:val="right" w:pos="9360"/>
      </w:tabs>
      <w:spacing w:after="0" w:line="240" w:lineRule="auto"/>
    </w:pPr>
  </w:style>
  <w:style w:type="character" w:styleId="18">
    <w:name w:val="footnote reference"/>
    <w:basedOn w:val="11"/>
    <w:link w:val="19"/>
    <w:unhideWhenUsed/>
    <w:qFormat/>
    <w:uiPriority w:val="99"/>
    <w:rPr>
      <w:vertAlign w:val="superscript"/>
    </w:rPr>
  </w:style>
  <w:style w:type="paragraph" w:customStyle="1" w:styleId="19">
    <w:name w:val="BVI fnr Char1 Char"/>
    <w:basedOn w:val="1"/>
    <w:next w:val="1"/>
    <w:link w:val="18"/>
    <w:qFormat/>
    <w:uiPriority w:val="99"/>
    <w:pPr>
      <w:spacing w:line="240" w:lineRule="exact"/>
    </w:pPr>
    <w:rPr>
      <w:kern w:val="2"/>
      <w:vertAlign w:val="superscript"/>
      <w14:ligatures w14:val="standardContextual"/>
    </w:rPr>
  </w:style>
  <w:style w:type="paragraph" w:styleId="20">
    <w:name w:val="footnote text"/>
    <w:basedOn w:val="1"/>
    <w:link w:val="44"/>
    <w:unhideWhenUsed/>
    <w:qFormat/>
    <w:uiPriority w:val="99"/>
    <w:pPr>
      <w:spacing w:after="0" w:line="240" w:lineRule="auto"/>
    </w:pPr>
    <w:rPr>
      <w:rFonts w:ascii="Times New Roman" w:hAnsi="Times New Roman" w:eastAsia="Times New Roman" w:cs="Times New Roman"/>
      <w:sz w:val="20"/>
      <w:szCs w:val="20"/>
      <w:lang w:val="en-GB"/>
    </w:rPr>
  </w:style>
  <w:style w:type="character" w:styleId="21">
    <w:name w:val="Hyperlink"/>
    <w:basedOn w:val="11"/>
    <w:unhideWhenUsed/>
    <w:qFormat/>
    <w:uiPriority w:val="99"/>
    <w:rPr>
      <w:color w:val="467886" w:themeColor="hyperlink"/>
      <w:u w:val="single"/>
      <w14:textFill>
        <w14:solidFill>
          <w14:schemeClr w14:val="hlink"/>
        </w14:solidFill>
      </w14:textFill>
    </w:rPr>
  </w:style>
  <w:style w:type="paragraph" w:styleId="22">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val="ru-RU" w:eastAsia="ru-RU"/>
    </w:rPr>
  </w:style>
  <w:style w:type="paragraph" w:styleId="23">
    <w:name w:val="Subtitle"/>
    <w:basedOn w:val="1"/>
    <w:next w:val="1"/>
    <w:link w:val="36"/>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table" w:styleId="24">
    <w:name w:val="Table Grid"/>
    <w:basedOn w:val="12"/>
    <w:qFormat/>
    <w:uiPriority w:val="39"/>
    <w:pPr>
      <w:spacing w:after="0" w:line="240" w:lineRule="auto"/>
    </w:pPr>
    <w:rPr>
      <w:kern w:val="0"/>
      <w14:ligatures w14:val="non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5">
    <w:name w:val="Title"/>
    <w:basedOn w:val="1"/>
    <w:next w:val="1"/>
    <w:link w:val="35"/>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26">
    <w:name w:val="Heading 1 Char"/>
    <w:basedOn w:val="11"/>
    <w:link w:val="2"/>
    <w:qFormat/>
    <w:uiPriority w:val="9"/>
    <w:rPr>
      <w:rFonts w:asciiTheme="majorHAnsi" w:hAnsiTheme="majorHAnsi" w:eastAsiaTheme="majorEastAsia" w:cstheme="majorBidi"/>
      <w:color w:val="104862" w:themeColor="accent1" w:themeShade="BF"/>
      <w:sz w:val="40"/>
      <w:szCs w:val="40"/>
    </w:rPr>
  </w:style>
  <w:style w:type="character" w:customStyle="1" w:styleId="27">
    <w:name w:val="Heading 2 Char"/>
    <w:basedOn w:val="11"/>
    <w:link w:val="3"/>
    <w:qFormat/>
    <w:uiPriority w:val="9"/>
    <w:rPr>
      <w:rFonts w:asciiTheme="majorHAnsi" w:hAnsiTheme="majorHAnsi" w:eastAsiaTheme="majorEastAsia" w:cstheme="majorBidi"/>
      <w:color w:val="104862" w:themeColor="accent1" w:themeShade="BF"/>
      <w:sz w:val="32"/>
      <w:szCs w:val="32"/>
    </w:rPr>
  </w:style>
  <w:style w:type="character" w:customStyle="1" w:styleId="28">
    <w:name w:val="Heading 3 Char"/>
    <w:basedOn w:val="11"/>
    <w:link w:val="4"/>
    <w:qFormat/>
    <w:uiPriority w:val="9"/>
    <w:rPr>
      <w:rFonts w:eastAsiaTheme="majorEastAsia" w:cstheme="majorBidi"/>
      <w:color w:val="104862" w:themeColor="accent1" w:themeShade="BF"/>
      <w:sz w:val="28"/>
      <w:szCs w:val="28"/>
    </w:rPr>
  </w:style>
  <w:style w:type="character" w:customStyle="1" w:styleId="29">
    <w:name w:val="Heading 4 Char"/>
    <w:basedOn w:val="11"/>
    <w:link w:val="5"/>
    <w:semiHidden/>
    <w:qFormat/>
    <w:uiPriority w:val="9"/>
    <w:rPr>
      <w:rFonts w:eastAsiaTheme="majorEastAsia" w:cstheme="majorBidi"/>
      <w:i/>
      <w:iCs/>
      <w:color w:val="104862" w:themeColor="accent1" w:themeShade="BF"/>
    </w:rPr>
  </w:style>
  <w:style w:type="character" w:customStyle="1" w:styleId="30">
    <w:name w:val="Heading 5 Char"/>
    <w:basedOn w:val="11"/>
    <w:link w:val="6"/>
    <w:semiHidden/>
    <w:qFormat/>
    <w:uiPriority w:val="9"/>
    <w:rPr>
      <w:rFonts w:eastAsiaTheme="majorEastAsia" w:cstheme="majorBidi"/>
      <w:color w:val="104862" w:themeColor="accent1" w:themeShade="BF"/>
    </w:rPr>
  </w:style>
  <w:style w:type="character" w:customStyle="1" w:styleId="31">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32">
    <w:name w:val="Heading 7 Char"/>
    <w:basedOn w:val="11"/>
    <w:link w:val="8"/>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3">
    <w:name w:val="Heading 8 Char"/>
    <w:basedOn w:val="11"/>
    <w:link w:val="9"/>
    <w:semiHidden/>
    <w:qFormat/>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34">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35">
    <w:name w:val="Title Char"/>
    <w:basedOn w:val="11"/>
    <w:link w:val="25"/>
    <w:qFormat/>
    <w:uiPriority w:val="10"/>
    <w:rPr>
      <w:rFonts w:asciiTheme="majorHAnsi" w:hAnsiTheme="majorHAnsi" w:eastAsiaTheme="majorEastAsia" w:cstheme="majorBidi"/>
      <w:spacing w:val="-10"/>
      <w:kern w:val="28"/>
      <w:sz w:val="56"/>
      <w:szCs w:val="56"/>
    </w:rPr>
  </w:style>
  <w:style w:type="character" w:customStyle="1" w:styleId="36">
    <w:name w:val="Subtitle Char"/>
    <w:basedOn w:val="11"/>
    <w:link w:val="23"/>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7">
    <w:name w:val="Quote"/>
    <w:basedOn w:val="1"/>
    <w:next w:val="1"/>
    <w:link w:val="38"/>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8">
    <w:name w:val="Quote Char"/>
    <w:basedOn w:val="11"/>
    <w:link w:val="37"/>
    <w:qFormat/>
    <w:uiPriority w:val="29"/>
    <w:rPr>
      <w:i/>
      <w:iCs/>
      <w:color w:val="404040" w:themeColor="text1" w:themeTint="BF"/>
      <w14:textFill>
        <w14:solidFill>
          <w14:schemeClr w14:val="tx1">
            <w14:lumMod w14:val="75000"/>
            <w14:lumOff w14:val="25000"/>
          </w14:schemeClr>
        </w14:solidFill>
      </w14:textFill>
    </w:rPr>
  </w:style>
  <w:style w:type="paragraph" w:styleId="39">
    <w:name w:val="List Paragraph"/>
    <w:basedOn w:val="1"/>
    <w:link w:val="45"/>
    <w:qFormat/>
    <w:uiPriority w:val="34"/>
    <w:pPr>
      <w:ind w:left="720"/>
      <w:contextualSpacing/>
    </w:pPr>
  </w:style>
  <w:style w:type="character" w:customStyle="1" w:styleId="40">
    <w:name w:val="Intense Emphasis"/>
    <w:basedOn w:val="11"/>
    <w:qFormat/>
    <w:uiPriority w:val="21"/>
    <w:rPr>
      <w:i/>
      <w:iCs/>
      <w:color w:val="104862" w:themeColor="accent1" w:themeShade="BF"/>
    </w:rPr>
  </w:style>
  <w:style w:type="paragraph" w:styleId="41">
    <w:name w:val="Intense Quote"/>
    <w:basedOn w:val="1"/>
    <w:next w:val="1"/>
    <w:link w:val="42"/>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42">
    <w:name w:val="Intense Quote Char"/>
    <w:basedOn w:val="11"/>
    <w:link w:val="41"/>
    <w:qFormat/>
    <w:uiPriority w:val="30"/>
    <w:rPr>
      <w:i/>
      <w:iCs/>
      <w:color w:val="104862" w:themeColor="accent1" w:themeShade="BF"/>
    </w:rPr>
  </w:style>
  <w:style w:type="character" w:customStyle="1" w:styleId="43">
    <w:name w:val="Intense Reference"/>
    <w:basedOn w:val="11"/>
    <w:qFormat/>
    <w:uiPriority w:val="32"/>
    <w:rPr>
      <w:b/>
      <w:bCs/>
      <w:smallCaps/>
      <w:color w:val="104862" w:themeColor="accent1" w:themeShade="BF"/>
      <w:spacing w:val="5"/>
    </w:rPr>
  </w:style>
  <w:style w:type="character" w:customStyle="1" w:styleId="44">
    <w:name w:val="Footnote Text Char"/>
    <w:basedOn w:val="11"/>
    <w:link w:val="20"/>
    <w:qFormat/>
    <w:uiPriority w:val="99"/>
    <w:rPr>
      <w:rFonts w:ascii="Times New Roman" w:hAnsi="Times New Roman" w:eastAsia="Times New Roman" w:cs="Times New Roman"/>
      <w:kern w:val="0"/>
      <w:sz w:val="20"/>
      <w:szCs w:val="20"/>
      <w:lang w:val="en-GB"/>
      <w14:ligatures w14:val="none"/>
    </w:rPr>
  </w:style>
  <w:style w:type="character" w:customStyle="1" w:styleId="45">
    <w:name w:val="List Paragraph Char"/>
    <w:link w:val="39"/>
    <w:qFormat/>
    <w:uiPriority w:val="34"/>
  </w:style>
  <w:style w:type="character" w:customStyle="1" w:styleId="46">
    <w:name w:val="Footer Char"/>
    <w:basedOn w:val="11"/>
    <w:link w:val="17"/>
    <w:qFormat/>
    <w:uiPriority w:val="99"/>
    <w:rPr>
      <w:kern w:val="0"/>
      <w14:ligatures w14:val="none"/>
    </w:rPr>
  </w:style>
  <w:style w:type="paragraph" w:customStyle="1" w:styleId="47">
    <w:name w:val="Revision"/>
    <w:hidden/>
    <w:semiHidden/>
    <w:qFormat/>
    <w:uiPriority w:val="99"/>
    <w:pPr>
      <w:spacing w:after="0" w:line="240" w:lineRule="auto"/>
    </w:pPr>
    <w:rPr>
      <w:rFonts w:asciiTheme="minorHAnsi" w:hAnsiTheme="minorHAnsi" w:eastAsiaTheme="minorHAnsi" w:cstheme="minorBidi"/>
      <w:kern w:val="0"/>
      <w:sz w:val="22"/>
      <w:szCs w:val="22"/>
      <w:lang w:val="en-US" w:eastAsia="en-US" w:bidi="ar-SA"/>
      <w14:ligatures w14:val="none"/>
    </w:rPr>
  </w:style>
  <w:style w:type="character" w:customStyle="1" w:styleId="48">
    <w:name w:val="Comment Text Char"/>
    <w:basedOn w:val="11"/>
    <w:link w:val="15"/>
    <w:qFormat/>
    <w:uiPriority w:val="99"/>
    <w:rPr>
      <w:kern w:val="0"/>
      <w:sz w:val="20"/>
      <w:szCs w:val="20"/>
      <w14:ligatures w14:val="none"/>
    </w:rPr>
  </w:style>
  <w:style w:type="character" w:customStyle="1" w:styleId="49">
    <w:name w:val="Comment Subject Char"/>
    <w:basedOn w:val="48"/>
    <w:link w:val="16"/>
    <w:semiHidden/>
    <w:qFormat/>
    <w:uiPriority w:val="99"/>
    <w:rPr>
      <w:b/>
      <w:bCs/>
      <w:kern w:val="0"/>
      <w:sz w:val="20"/>
      <w:szCs w:val="20"/>
      <w14:ligatures w14:val="none"/>
    </w:rPr>
  </w:style>
  <w:style w:type="paragraph" w:customStyle="1" w:styleId="50">
    <w:name w:val="ftref Char1"/>
    <w:basedOn w:val="1"/>
    <w:qFormat/>
    <w:uiPriority w:val="99"/>
    <w:pPr>
      <w:spacing w:after="0" w:line="240" w:lineRule="exact"/>
    </w:pPr>
    <w:rPr>
      <w:vertAlign w:val="superscript"/>
    </w:rPr>
  </w:style>
  <w:style w:type="character" w:customStyle="1" w:styleId="51">
    <w:name w:val="Body Text Indent Char"/>
    <w:basedOn w:val="11"/>
    <w:link w:val="13"/>
    <w:qFormat/>
    <w:uiPriority w:val="0"/>
    <w:rPr>
      <w:rFonts w:ascii="Times New Roman" w:hAnsi="Times New Roman" w:eastAsia="Times New Roman" w:cs="Times New Roman"/>
      <w:kern w:val="0"/>
      <w:sz w:val="24"/>
      <w:szCs w:val="24"/>
      <w14:ligatures w14:val="none"/>
    </w:rPr>
  </w:style>
  <w:style w:type="paragraph" w:customStyle="1" w:styleId="52">
    <w:name w:val="Default"/>
    <w:qFormat/>
    <w:uiPriority w:val="0"/>
    <w:pPr>
      <w:autoSpaceDE w:val="0"/>
      <w:autoSpaceDN w:val="0"/>
      <w:adjustRightInd w:val="0"/>
      <w:spacing w:after="0" w:line="240" w:lineRule="auto"/>
    </w:pPr>
    <w:rPr>
      <w:rFonts w:ascii="Calibri" w:hAnsi="Calibri" w:cs="Calibri" w:eastAsiaTheme="minorHAnsi"/>
      <w:color w:val="000000"/>
      <w:kern w:val="0"/>
      <w:sz w:val="24"/>
      <w:szCs w:val="24"/>
      <w:lang w:val="en-GB" w:eastAsia="en-US" w:bidi="ar-SA"/>
      <w14:ligatures w14:val="standardContextual"/>
    </w:rPr>
  </w:style>
  <w:style w:type="character" w:customStyle="1" w:styleId="53">
    <w:name w:val="Unresolved Mention"/>
    <w:basedOn w:val="11"/>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2.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F982484-222D-4FAF-AF50-7E488F86C1E1}">
  <ds:schemaRefs/>
</ds:datastoreItem>
</file>

<file path=docProps/app.xml><?xml version="1.0" encoding="utf-8"?>
<Properties xmlns="http://schemas.openxmlformats.org/officeDocument/2006/extended-properties" xmlns:vt="http://schemas.openxmlformats.org/officeDocument/2006/docPropsVTypes">
  <Template>Normal</Template>
  <Company>WBG</Company>
  <Pages>40</Pages>
  <Words>11388</Words>
  <Characters>72657</Characters>
  <Lines>4036</Lines>
  <Paragraphs>2271</Paragraphs>
  <TotalTime>21</TotalTime>
  <ScaleCrop>false</ScaleCrop>
  <LinksUpToDate>false</LinksUpToDate>
  <CharactersWithSpaces>81774</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2025-09-09T14:38:00Z</dcterms:created>
  <dc:creator>Cesar Niculescu</dc:creator>
  <cp:lastModifiedBy>trofimov.t</cp:lastModifiedBy>
  <dcterms:modified xsi:type="dcterms:W3CDTF">2025-09-11T06:37:33Z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e415efb,2079afce,57ccf04b</vt:lpwstr>
  </property>
  <property fmtid="{D5CDD505-2E9C-101B-9397-08002B2CF9AE}" pid="3" name="ClassificationContentMarkingFooterFontProps">
    <vt:lpwstr>#000000,10,Calibri</vt:lpwstr>
  </property>
  <property fmtid="{D5CDD505-2E9C-101B-9397-08002B2CF9AE}" pid="4" name="ClassificationContentMarkingFooterText">
    <vt:lpwstr>Official Use Only</vt:lpwstr>
  </property>
  <property fmtid="{D5CDD505-2E9C-101B-9397-08002B2CF9AE}" pid="5" name="MSIP_Label_f1bf45b6-5649-4236-82a3-f45024cd282e_Enabled">
    <vt:lpwstr>true</vt:lpwstr>
  </property>
  <property fmtid="{D5CDD505-2E9C-101B-9397-08002B2CF9AE}" pid="6" name="MSIP_Label_f1bf45b6-5649-4236-82a3-f45024cd282e_SetDate">
    <vt:lpwstr>2025-07-31T09:37:57Z</vt:lpwstr>
  </property>
  <property fmtid="{D5CDD505-2E9C-101B-9397-08002B2CF9AE}" pid="7" name="MSIP_Label_f1bf45b6-5649-4236-82a3-f45024cd282e_Method">
    <vt:lpwstr>Standard</vt:lpwstr>
  </property>
  <property fmtid="{D5CDD505-2E9C-101B-9397-08002B2CF9AE}" pid="8" name="MSIP_Label_f1bf45b6-5649-4236-82a3-f45024cd282e_Name">
    <vt:lpwstr>Official Use Only</vt:lpwstr>
  </property>
  <property fmtid="{D5CDD505-2E9C-101B-9397-08002B2CF9AE}" pid="9" name="MSIP_Label_f1bf45b6-5649-4236-82a3-f45024cd282e_SiteId">
    <vt:lpwstr>31a2fec0-266b-4c67-b56e-2796d8f59c36</vt:lpwstr>
  </property>
  <property fmtid="{D5CDD505-2E9C-101B-9397-08002B2CF9AE}" pid="10" name="MSIP_Label_f1bf45b6-5649-4236-82a3-f45024cd282e_ActionId">
    <vt:lpwstr>a4e8ca8b-bcdb-403f-bb39-a561493ad6e5</vt:lpwstr>
  </property>
  <property fmtid="{D5CDD505-2E9C-101B-9397-08002B2CF9AE}" pid="11" name="MSIP_Label_f1bf45b6-5649-4236-82a3-f45024cd282e_ContentBits">
    <vt:lpwstr>2</vt:lpwstr>
  </property>
  <property fmtid="{D5CDD505-2E9C-101B-9397-08002B2CF9AE}" pid="12" name="MSIP_Label_f1bf45b6-5649-4236-82a3-f45024cd282e_Tag">
    <vt:lpwstr>10, 3, 0, 1</vt:lpwstr>
  </property>
  <property fmtid="{D5CDD505-2E9C-101B-9397-08002B2CF9AE}" pid="13" name="KSOProductBuildVer">
    <vt:lpwstr>1033-12.2.0.22549</vt:lpwstr>
  </property>
  <property fmtid="{D5CDD505-2E9C-101B-9397-08002B2CF9AE}" pid="14" name="ICV">
    <vt:lpwstr>90F4AB9D5F5047D3A86C9ED2981EB452_13</vt:lpwstr>
  </property>
</Properties>
</file>