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50" w:type="pct"/>
        <w:jc w:val="center"/>
        <w:tblLook w:val="04A0" w:firstRow="1" w:lastRow="0" w:firstColumn="1" w:lastColumn="0" w:noHBand="0" w:noVBand="1"/>
      </w:tblPr>
      <w:tblGrid>
        <w:gridCol w:w="13351"/>
      </w:tblGrid>
      <w:tr w:rsidR="00D14AC7" w:rsidRPr="00BB4D43" w14:paraId="33D51E83" w14:textId="77777777" w:rsidTr="003E40E3">
        <w:trPr>
          <w:jc w:val="center"/>
        </w:trPr>
        <w:tc>
          <w:tcPr>
            <w:tcW w:w="0" w:type="auto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0" w14:textId="77777777" w:rsidR="00D14AC7" w:rsidRPr="00BB4D43" w:rsidRDefault="00D14AC7" w:rsidP="003E40E3">
            <w:pPr>
              <w:ind w:firstLine="0"/>
              <w:jc w:val="right"/>
              <w:rPr>
                <w:sz w:val="28"/>
                <w:szCs w:val="28"/>
                <w:lang w:val="pt-BR"/>
              </w:rPr>
            </w:pPr>
            <w:r w:rsidRPr="00BB4D43">
              <w:rPr>
                <w:sz w:val="28"/>
                <w:szCs w:val="28"/>
                <w:lang w:val="pt-BR"/>
              </w:rPr>
              <w:t>Anexa nr. 2</w:t>
            </w:r>
          </w:p>
          <w:p w14:paraId="33D51E81" w14:textId="77777777" w:rsidR="00D14AC7" w:rsidRPr="00BB4D43" w:rsidRDefault="00D14AC7" w:rsidP="003E40E3">
            <w:pPr>
              <w:ind w:firstLine="567"/>
              <w:rPr>
                <w:sz w:val="24"/>
                <w:szCs w:val="24"/>
                <w:lang w:val="pt-BR"/>
              </w:rPr>
            </w:pPr>
            <w:r w:rsidRPr="00BB4D43">
              <w:rPr>
                <w:sz w:val="24"/>
                <w:szCs w:val="24"/>
                <w:lang w:val="pt-BR"/>
              </w:rPr>
              <w:t> </w:t>
            </w:r>
          </w:p>
          <w:p w14:paraId="33D51E82" w14:textId="77777777" w:rsidR="00D14AC7" w:rsidRPr="00BB4D43" w:rsidRDefault="00D14AC7" w:rsidP="003E40E3">
            <w:pPr>
              <w:ind w:firstLine="0"/>
              <w:jc w:val="center"/>
              <w:rPr>
                <w:sz w:val="28"/>
                <w:szCs w:val="28"/>
                <w:lang w:val="pt-BR"/>
              </w:rPr>
            </w:pPr>
            <w:r w:rsidRPr="00BB4D43">
              <w:rPr>
                <w:b/>
                <w:bCs/>
                <w:sz w:val="28"/>
                <w:szCs w:val="28"/>
                <w:lang w:val="pt-BR"/>
              </w:rPr>
              <w:t>Cota accizei pentru mijloacele de transport</w:t>
            </w:r>
          </w:p>
        </w:tc>
      </w:tr>
    </w:tbl>
    <w:p w14:paraId="33D51E84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  <w:r w:rsidRPr="00BB4D43">
        <w:rPr>
          <w:sz w:val="24"/>
          <w:szCs w:val="24"/>
          <w:lang w:val="pt-BR"/>
        </w:rPr>
        <w:t xml:space="preserve">                                                                   </w:t>
      </w:r>
      <w:proofErr w:type="spellStart"/>
      <w:r w:rsidRPr="00316537">
        <w:rPr>
          <w:sz w:val="24"/>
          <w:szCs w:val="24"/>
        </w:rPr>
        <w:t>Tabelul</w:t>
      </w:r>
      <w:proofErr w:type="spellEnd"/>
      <w:r w:rsidRPr="00316537">
        <w:rPr>
          <w:sz w:val="24"/>
          <w:szCs w:val="24"/>
        </w:rPr>
        <w:t xml:space="preserve"> nr. 1</w:t>
      </w:r>
    </w:p>
    <w:p w14:paraId="33D51E85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1702"/>
        <w:gridCol w:w="666"/>
        <w:gridCol w:w="720"/>
        <w:gridCol w:w="720"/>
        <w:gridCol w:w="720"/>
        <w:gridCol w:w="540"/>
        <w:gridCol w:w="537"/>
        <w:gridCol w:w="537"/>
        <w:gridCol w:w="53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7"/>
      </w:tblGrid>
      <w:tr w:rsidR="00D14AC7" w:rsidRPr="00BB4D43" w14:paraId="33D51E8A" w14:textId="77777777" w:rsidTr="003E40E3">
        <w:trPr>
          <w:jc w:val="center"/>
        </w:trPr>
        <w:tc>
          <w:tcPr>
            <w:tcW w:w="4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Poziţia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tarifară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mărfii</w:t>
            </w:r>
            <w:proofErr w:type="spellEnd"/>
          </w:p>
        </w:tc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8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Unita-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tea de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măsu-ră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9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Cota accizei în funcţie de termenul de exploatare a mijlocului de transport, lei</w:t>
            </w:r>
          </w:p>
        </w:tc>
      </w:tr>
      <w:tr w:rsidR="00D14AC7" w:rsidRPr="00BB4D43" w14:paraId="33D51E9F" w14:textId="77777777" w:rsidTr="003E40E3">
        <w:trPr>
          <w:jc w:val="center"/>
        </w:trPr>
        <w:tc>
          <w:tcPr>
            <w:tcW w:w="4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B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60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C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33D51E8D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E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0 la 2 ani inclusiv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8F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3 la 4 ani inclusiv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0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la 5 la 6 ani inclusiv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1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7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8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9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10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5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11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12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13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14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15 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16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B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17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18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de 19</w:t>
            </w:r>
            <w:r w:rsidRPr="007F0E65">
              <w:rPr>
                <w:b/>
                <w:bCs/>
                <w:sz w:val="18"/>
                <w:szCs w:val="18"/>
              </w:rPr>
              <w:br/>
              <w:t>ani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9E" w14:textId="77777777" w:rsidR="00D14AC7" w:rsidRPr="00BB4D43" w:rsidRDefault="00D14AC7" w:rsidP="003E40E3">
            <w:pPr>
              <w:ind w:firstLine="0"/>
              <w:jc w:val="center"/>
              <w:rPr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de 20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ani şi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mai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br/>
              <w:t>mult</w:t>
            </w:r>
          </w:p>
        </w:tc>
      </w:tr>
      <w:tr w:rsidR="00D14AC7" w:rsidRPr="00BB4D43" w14:paraId="33D51EA2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</w:t>
            </w: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1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Autoturisme şi alte autovehicule, proiectate în principal pentru transportul persoanelor (altele decât cele de la poziţia 8702), inclusiv maşinile de tip „break” şi maşinile de curse:</w:t>
            </w:r>
          </w:p>
        </w:tc>
      </w:tr>
      <w:tr w:rsidR="00D14AC7" w:rsidRPr="007F0E65" w14:paraId="33D51EA5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3" w14:textId="77777777" w:rsidR="00D14AC7" w:rsidRPr="00BB4D43" w:rsidRDefault="00D14AC7" w:rsidP="003E40E3">
            <w:pPr>
              <w:spacing w:after="160"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4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cu motor cu piston </w:t>
            </w:r>
            <w:proofErr w:type="spellStart"/>
            <w:r w:rsidRPr="007F0E65">
              <w:rPr>
                <w:sz w:val="18"/>
                <w:szCs w:val="18"/>
              </w:rPr>
              <w:t>alternativ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>:</w:t>
            </w:r>
          </w:p>
        </w:tc>
      </w:tr>
      <w:tr w:rsidR="00D14AC7" w:rsidRPr="007F0E65" w14:paraId="33D51EBA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6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7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maximum 1000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9,56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10,00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10,23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11,25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12,38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13,62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A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16,34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61,24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66,24</w:t>
            </w:r>
          </w:p>
        </w:tc>
      </w:tr>
      <w:tr w:rsidR="00D14AC7" w:rsidRPr="007F0E65" w14:paraId="33D51EC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B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870322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C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12,23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B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12,67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14,19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15,61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17,17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20,60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66,79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C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71,79</w:t>
            </w:r>
          </w:p>
        </w:tc>
      </w:tr>
      <w:tr w:rsidR="00D14AC7" w:rsidRPr="007F0E65" w14:paraId="33D51EE4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1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2000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18,90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19,34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19,57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21,53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23,68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26,05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31,26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D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75,63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80,63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85,63</w:t>
            </w:r>
          </w:p>
        </w:tc>
      </w:tr>
      <w:tr w:rsidR="00D14AC7" w:rsidRPr="007F0E65" w14:paraId="33D51EF9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5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6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2000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>, dar de maximum 3000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31,14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31,58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31,81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34,99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38,49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42,34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50,81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E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106,05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111,05</w:t>
            </w:r>
          </w:p>
        </w:tc>
      </w:tr>
      <w:tr w:rsidR="00D14AC7" w:rsidRPr="007F0E65" w14:paraId="33D51F0E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A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870324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B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3000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56,04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EF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68,09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74,90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89,87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156,84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161,84</w:t>
            </w:r>
          </w:p>
        </w:tc>
      </w:tr>
      <w:tr w:rsidR="00D14AC7" w:rsidRPr="007F0E65" w14:paraId="33D51F11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0F" w14:textId="77777777" w:rsidR="00D14AC7" w:rsidRPr="007F0E65" w:rsidRDefault="00D14AC7" w:rsidP="003E40E3">
            <w:pPr>
              <w:spacing w:after="160"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97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doar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semidiesel):</w:t>
            </w:r>
          </w:p>
        </w:tc>
      </w:tr>
      <w:tr w:rsidR="00D14AC7" w:rsidRPr="007F0E65" w14:paraId="33D51F26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2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870331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3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maximum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12,23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12,67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12,90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14,19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15,61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17,17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20,60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1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61,79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66,79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71,79</w:t>
            </w:r>
          </w:p>
        </w:tc>
      </w:tr>
      <w:tr w:rsidR="00D14AC7" w:rsidRPr="007F0E65" w14:paraId="33D51F3B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7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870332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8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1500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  <w:r w:rsidRPr="00BB4D43">
              <w:rPr>
                <w:sz w:val="18"/>
                <w:szCs w:val="18"/>
                <w:lang w:val="pt-BR"/>
              </w:rPr>
              <w:t xml:space="preserve">, dar de </w:t>
            </w:r>
            <w:r w:rsidRPr="00BB4D43">
              <w:rPr>
                <w:sz w:val="18"/>
                <w:szCs w:val="18"/>
                <w:lang w:val="pt-BR"/>
              </w:rPr>
              <w:lastRenderedPageBreak/>
              <w:t>maximum 2500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lastRenderedPageBreak/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31,14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31,58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31,81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34,99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38,49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2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42,34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50,81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96,05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101,05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106,05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111,05</w:t>
            </w:r>
          </w:p>
        </w:tc>
      </w:tr>
      <w:tr w:rsidR="00D14AC7" w:rsidRPr="007F0E65" w14:paraId="33D51F50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C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870333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D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– – Cu capacitatea cilindrică de peste 2500 cm</w:t>
            </w:r>
            <w:r w:rsidRPr="00BB4D43">
              <w:rPr>
                <w:sz w:val="18"/>
                <w:szCs w:val="18"/>
                <w:vertAlign w:val="superscript"/>
                <w:lang w:val="pt-BR"/>
              </w:rPr>
              <w:t>3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3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55,60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56,04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68,09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74,90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89,87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116,84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136,84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146,84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151,84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156,84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4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161,84</w:t>
            </w:r>
          </w:p>
        </w:tc>
      </w:tr>
      <w:tr w:rsidR="00D14AC7" w:rsidRPr="007F0E65" w14:paraId="33D51F55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1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870340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2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alternative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şi</w:t>
            </w:r>
            <w:proofErr w:type="spellEnd"/>
            <w:r w:rsidRPr="007F0E65">
              <w:rPr>
                <w:sz w:val="18"/>
                <w:szCs w:val="18"/>
              </w:rPr>
              <w:t xml:space="preserve">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altele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decât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cele</w:t>
            </w:r>
            <w:proofErr w:type="spellEnd"/>
            <w:r w:rsidRPr="007F0E65">
              <w:rPr>
                <w:sz w:val="18"/>
                <w:szCs w:val="18"/>
              </w:rPr>
              <w:t xml:space="preserve">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4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870321–870324,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5A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6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870350000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7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şi</w:t>
            </w:r>
            <w:proofErr w:type="spellEnd"/>
            <w:r w:rsidRPr="007F0E65">
              <w:rPr>
                <w:sz w:val="18"/>
                <w:szCs w:val="18"/>
              </w:rPr>
              <w:t xml:space="preserve">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altele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decât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cele</w:t>
            </w:r>
            <w:proofErr w:type="spellEnd"/>
            <w:r w:rsidRPr="007F0E65">
              <w:rPr>
                <w:sz w:val="18"/>
                <w:szCs w:val="18"/>
              </w:rPr>
              <w:t xml:space="preserve">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9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870331–870333,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5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B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870360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C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alternative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scânteie</w:t>
            </w:r>
            <w:proofErr w:type="spellEnd"/>
            <w:r w:rsidRPr="007F0E65">
              <w:rPr>
                <w:sz w:val="18"/>
                <w:szCs w:val="18"/>
              </w:rPr>
              <w:t xml:space="preserve">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şi</w:t>
            </w:r>
            <w:proofErr w:type="spellEnd"/>
            <w:r w:rsidRPr="007F0E65">
              <w:rPr>
                <w:sz w:val="18"/>
                <w:szCs w:val="18"/>
              </w:rPr>
              <w:t xml:space="preserve">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lastRenderedPageBreak/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lastRenderedPageBreak/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5E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870321–870324,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64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0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870370000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1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 xml:space="preserve">– Alte </w:t>
            </w:r>
            <w:proofErr w:type="spellStart"/>
            <w:r w:rsidRPr="007F0E65">
              <w:rPr>
                <w:sz w:val="18"/>
                <w:szCs w:val="18"/>
              </w:rPr>
              <w:t>vehicule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având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atât</w:t>
            </w:r>
            <w:proofErr w:type="spellEnd"/>
            <w:r w:rsidRPr="007F0E65">
              <w:rPr>
                <w:sz w:val="18"/>
                <w:szCs w:val="18"/>
              </w:rPr>
              <w:t xml:space="preserve"> motor cu </w:t>
            </w:r>
            <w:proofErr w:type="spellStart"/>
            <w:r w:rsidRPr="007F0E65">
              <w:rPr>
                <w:sz w:val="18"/>
                <w:szCs w:val="18"/>
              </w:rPr>
              <w:t>pistoane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combustie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internă</w:t>
            </w:r>
            <w:proofErr w:type="spellEnd"/>
            <w:r w:rsidRPr="007F0E65">
              <w:rPr>
                <w:sz w:val="18"/>
                <w:szCs w:val="18"/>
              </w:rPr>
              <w:t xml:space="preserve"> cu </w:t>
            </w:r>
            <w:proofErr w:type="spellStart"/>
            <w:r w:rsidRPr="007F0E65">
              <w:rPr>
                <w:sz w:val="18"/>
                <w:szCs w:val="18"/>
              </w:rPr>
              <w:t>aprindere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compresie</w:t>
            </w:r>
            <w:proofErr w:type="spellEnd"/>
            <w:r w:rsidRPr="007F0E65">
              <w:rPr>
                <w:sz w:val="18"/>
                <w:szCs w:val="18"/>
              </w:rPr>
              <w:t xml:space="preserve"> (diesel </w:t>
            </w:r>
            <w:proofErr w:type="spellStart"/>
            <w:r w:rsidRPr="007F0E65">
              <w:rPr>
                <w:sz w:val="18"/>
                <w:szCs w:val="18"/>
              </w:rPr>
              <w:t>sau</w:t>
            </w:r>
            <w:proofErr w:type="spellEnd"/>
            <w:r w:rsidRPr="007F0E65">
              <w:rPr>
                <w:sz w:val="18"/>
                <w:szCs w:val="18"/>
              </w:rPr>
              <w:t xml:space="preserve"> semidiesel), </w:t>
            </w:r>
            <w:proofErr w:type="spellStart"/>
            <w:r w:rsidRPr="007F0E65">
              <w:rPr>
                <w:sz w:val="18"/>
                <w:szCs w:val="18"/>
              </w:rPr>
              <w:t>cât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şi</w:t>
            </w:r>
            <w:proofErr w:type="spellEnd"/>
            <w:r w:rsidRPr="007F0E65">
              <w:rPr>
                <w:sz w:val="18"/>
                <w:szCs w:val="18"/>
              </w:rPr>
              <w:t xml:space="preserve"> motor electric ca </w:t>
            </w:r>
            <w:proofErr w:type="spellStart"/>
            <w:r w:rsidRPr="007F0E65">
              <w:rPr>
                <w:sz w:val="18"/>
                <w:szCs w:val="18"/>
              </w:rPr>
              <w:t>motoare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pentru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propulsie</w:t>
            </w:r>
            <w:proofErr w:type="spellEnd"/>
            <w:r w:rsidRPr="007F0E65">
              <w:rPr>
                <w:sz w:val="18"/>
                <w:szCs w:val="18"/>
              </w:rPr>
              <w:t xml:space="preserve">, care pot fi </w:t>
            </w:r>
            <w:proofErr w:type="spellStart"/>
            <w:r w:rsidRPr="007F0E65">
              <w:rPr>
                <w:sz w:val="18"/>
                <w:szCs w:val="18"/>
              </w:rPr>
              <w:t>încărcate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prin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conectarea</w:t>
            </w:r>
            <w:proofErr w:type="spellEnd"/>
            <w:r w:rsidRPr="007F0E65">
              <w:rPr>
                <w:sz w:val="18"/>
                <w:szCs w:val="18"/>
              </w:rPr>
              <w:t xml:space="preserve"> la o </w:t>
            </w:r>
            <w:proofErr w:type="spellStart"/>
            <w:r w:rsidRPr="007F0E65">
              <w:rPr>
                <w:sz w:val="18"/>
                <w:szCs w:val="18"/>
              </w:rPr>
              <w:t>sursă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externă</w:t>
            </w:r>
            <w:proofErr w:type="spellEnd"/>
            <w:r w:rsidRPr="007F0E65">
              <w:rPr>
                <w:sz w:val="18"/>
                <w:szCs w:val="18"/>
              </w:rPr>
              <w:t xml:space="preserve"> de </w:t>
            </w:r>
            <w:proofErr w:type="spellStart"/>
            <w:r w:rsidRPr="007F0E65">
              <w:rPr>
                <w:sz w:val="18"/>
                <w:szCs w:val="18"/>
              </w:rPr>
              <w:t>energie</w:t>
            </w:r>
            <w:proofErr w:type="spellEnd"/>
            <w:r w:rsidRPr="007F0E65">
              <w:rPr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sz w:val="18"/>
                <w:szCs w:val="18"/>
              </w:rPr>
              <w:t>electrică</w:t>
            </w:r>
            <w:proofErr w:type="spellEnd"/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5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3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BB4D43">
              <w:rPr>
                <w:sz w:val="18"/>
                <w:szCs w:val="18"/>
                <w:lang w:val="pt-BR"/>
              </w:rPr>
              <w:t xml:space="preserve">Cota accizei se stabileşte similar poziţiilor tarifare 870331–870333, în funcţie de termenul de exploatare şi capacitatea cilindrică, în condiţiile art. 124 alin. </w:t>
            </w:r>
            <w:r w:rsidRPr="007F0E65">
              <w:rPr>
                <w:sz w:val="18"/>
                <w:szCs w:val="18"/>
              </w:rPr>
              <w:t>(18)</w:t>
            </w:r>
          </w:p>
        </w:tc>
      </w:tr>
      <w:tr w:rsidR="00D14AC7" w:rsidRPr="007F0E65" w14:paraId="33D51F79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5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8711</w:t>
            </w:r>
          </w:p>
        </w:tc>
        <w:tc>
          <w:tcPr>
            <w:tcW w:w="6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6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Motociclete (inclusiv mopede) şi biciclete, triciclete sau similare, echipate cu pedale şi cu motor auxiliar, cu sau fără ataş; ataşe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cm</w:t>
            </w:r>
            <w:r w:rsidRPr="007F0E6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9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A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B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C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D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E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0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6F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0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1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2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3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4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5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51,24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6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56,24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7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61,24</w:t>
            </w:r>
          </w:p>
        </w:tc>
        <w:tc>
          <w:tcPr>
            <w:tcW w:w="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8" w14:textId="77777777" w:rsidR="00D14AC7" w:rsidRPr="007F0E65" w:rsidRDefault="00D14AC7" w:rsidP="003E40E3">
            <w:pPr>
              <w:ind w:firstLine="0"/>
              <w:jc w:val="righ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66,24</w:t>
            </w:r>
          </w:p>
        </w:tc>
      </w:tr>
      <w:tr w:rsidR="00D14AC7" w:rsidRPr="00BB4D43" w14:paraId="33D51F7F" w14:textId="77777777" w:rsidTr="003E40E3">
        <w:trPr>
          <w:jc w:val="center"/>
        </w:trPr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A" w14:textId="77777777" w:rsidR="00D14AC7" w:rsidRPr="007F0E65" w:rsidRDefault="00D14AC7" w:rsidP="003E40E3">
            <w:pPr>
              <w:ind w:firstLine="0"/>
              <w:jc w:val="left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9705</w:t>
            </w:r>
          </w:p>
        </w:tc>
        <w:tc>
          <w:tcPr>
            <w:tcW w:w="3707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B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Autovehicul de colecţie de interes istoric sau etnografic</w:t>
            </w:r>
          </w:p>
        </w:tc>
        <w:tc>
          <w:tcPr>
            <w:tcW w:w="8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7C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30 de ani până la 39 de ani inclusiv – 40000 de lei.</w:t>
            </w:r>
          </w:p>
          <w:p w14:paraId="33D51F7D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40 de ani până la 49 de ani inclusiv – 30000 de lei.</w:t>
            </w:r>
          </w:p>
          <w:p w14:paraId="33D51F7E" w14:textId="77777777" w:rsidR="00D14AC7" w:rsidRPr="00BB4D43" w:rsidRDefault="00D14AC7" w:rsidP="003E40E3">
            <w:pPr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De la 50 de ani – 20000 de lei</w:t>
            </w:r>
          </w:p>
        </w:tc>
      </w:tr>
    </w:tbl>
    <w:p w14:paraId="33D51F80" w14:textId="77777777" w:rsidR="00D14AC7" w:rsidRPr="00BB4D43" w:rsidRDefault="00D14AC7" w:rsidP="00D14AC7">
      <w:pPr>
        <w:ind w:firstLine="567"/>
        <w:rPr>
          <w:sz w:val="24"/>
          <w:szCs w:val="24"/>
          <w:lang w:val="pt-BR"/>
        </w:rPr>
      </w:pPr>
      <w:r w:rsidRPr="00BB4D43">
        <w:rPr>
          <w:sz w:val="24"/>
          <w:szCs w:val="24"/>
          <w:lang w:val="pt-BR"/>
        </w:rPr>
        <w:t> </w:t>
      </w:r>
    </w:p>
    <w:p w14:paraId="33D51F81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  <w:proofErr w:type="spellStart"/>
      <w:r w:rsidRPr="00316537">
        <w:rPr>
          <w:sz w:val="24"/>
          <w:szCs w:val="24"/>
        </w:rPr>
        <w:t>Tabelul</w:t>
      </w:r>
      <w:proofErr w:type="spellEnd"/>
      <w:r w:rsidRPr="00316537">
        <w:rPr>
          <w:sz w:val="24"/>
          <w:szCs w:val="24"/>
        </w:rPr>
        <w:t xml:space="preserve"> nr. 2</w:t>
      </w:r>
    </w:p>
    <w:p w14:paraId="33D51F82" w14:textId="77777777" w:rsidR="00D14AC7" w:rsidRPr="00316537" w:rsidRDefault="00D14AC7" w:rsidP="00D14AC7">
      <w:pPr>
        <w:ind w:firstLine="567"/>
        <w:jc w:val="right"/>
        <w:rPr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95"/>
        <w:gridCol w:w="4821"/>
        <w:gridCol w:w="2998"/>
        <w:gridCol w:w="2428"/>
        <w:gridCol w:w="2272"/>
      </w:tblGrid>
      <w:tr w:rsidR="00D14AC7" w:rsidRPr="00BB4D43" w14:paraId="33D51F8B" w14:textId="77777777" w:rsidTr="003E40E3">
        <w:trPr>
          <w:trHeight w:val="680"/>
          <w:jc w:val="center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Poziţia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tarifară</w:t>
            </w:r>
            <w:proofErr w:type="spellEnd"/>
          </w:p>
          <w:p w14:paraId="33D51F8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3D51F85" w14:textId="77777777" w:rsidR="00D14AC7" w:rsidRPr="007F0E65" w:rsidRDefault="00D14AC7" w:rsidP="003E4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proofErr w:type="spellStart"/>
            <w:r w:rsidRPr="007F0E65">
              <w:rPr>
                <w:b/>
                <w:bCs/>
                <w:sz w:val="18"/>
                <w:szCs w:val="18"/>
              </w:rPr>
              <w:t>Denumirea</w:t>
            </w:r>
            <w:proofErr w:type="spellEnd"/>
            <w:r w:rsidRPr="007F0E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0E65">
              <w:rPr>
                <w:b/>
                <w:bCs/>
                <w:sz w:val="18"/>
                <w:szCs w:val="18"/>
              </w:rPr>
              <w:t>mărfii</w:t>
            </w:r>
            <w:proofErr w:type="spellEnd"/>
          </w:p>
          <w:p w14:paraId="33D51F8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33D51F88" w14:textId="77777777" w:rsidR="00D14AC7" w:rsidRPr="007F0E65" w:rsidRDefault="00D14AC7" w:rsidP="003E4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2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9" w14:textId="77777777" w:rsidR="00D14AC7" w:rsidRPr="00BB4D43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Valoarea în vamă a autoturismului, lei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A" w14:textId="77777777" w:rsidR="00D14AC7" w:rsidRPr="00BB4D43" w:rsidRDefault="00D14AC7" w:rsidP="003E40E3">
            <w:pPr>
              <w:ind w:hanging="54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BB4D43">
              <w:rPr>
                <w:b/>
                <w:bCs/>
                <w:sz w:val="18"/>
                <w:szCs w:val="18"/>
                <w:lang w:val="pt-BR"/>
              </w:rPr>
              <w:t>Cota accizei suplimentare, %</w:t>
            </w:r>
            <w:r w:rsidRPr="00BB4D43">
              <w:rPr>
                <w:lang w:val="pt-BR"/>
              </w:rPr>
              <w:t xml:space="preserve"> </w:t>
            </w:r>
            <w:r w:rsidRPr="00BB4D43">
              <w:rPr>
                <w:b/>
                <w:bCs/>
                <w:sz w:val="18"/>
                <w:szCs w:val="18"/>
                <w:lang w:val="pt-BR"/>
              </w:rPr>
              <w:t>din valoarea în vamă a autoturismului</w:t>
            </w:r>
          </w:p>
        </w:tc>
      </w:tr>
      <w:tr w:rsidR="00D14AC7" w:rsidRPr="007F0E65" w14:paraId="33D51F91" w14:textId="77777777" w:rsidTr="003E40E3">
        <w:trPr>
          <w:trHeight w:val="362"/>
          <w:jc w:val="center"/>
        </w:trPr>
        <w:tc>
          <w:tcPr>
            <w:tcW w:w="565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EECE1" w:themeFill="background2"/>
          </w:tcPr>
          <w:p w14:paraId="33D51F8C" w14:textId="77777777" w:rsidR="00D14AC7" w:rsidRPr="00BB4D43" w:rsidRDefault="00D14AC7" w:rsidP="003E40E3">
            <w:pPr>
              <w:ind w:firstLine="0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708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EECE1" w:themeFill="background2"/>
          </w:tcPr>
          <w:p w14:paraId="33D51F8D" w14:textId="77777777" w:rsidR="00D14AC7" w:rsidRPr="00BB4D43" w:rsidRDefault="00D14AC7" w:rsidP="003E40E3">
            <w:pPr>
              <w:ind w:firstLine="0"/>
              <w:jc w:val="center"/>
              <w:rPr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8E" w14:textId="77777777" w:rsidR="00D14AC7" w:rsidRPr="007F0E65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Minimum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3D51F8F" w14:textId="77777777" w:rsidR="00D14AC7" w:rsidRPr="007F0E65" w:rsidRDefault="00D14AC7" w:rsidP="003E40E3">
            <w:pPr>
              <w:ind w:firstLine="109"/>
              <w:jc w:val="center"/>
              <w:rPr>
                <w:b/>
                <w:bCs/>
                <w:sz w:val="18"/>
                <w:szCs w:val="18"/>
              </w:rPr>
            </w:pPr>
            <w:r w:rsidRPr="007F0E65">
              <w:rPr>
                <w:b/>
                <w:bCs/>
                <w:sz w:val="18"/>
                <w:szCs w:val="18"/>
              </w:rPr>
              <w:t>Maximum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3D51F90" w14:textId="77777777" w:rsidR="00D14AC7" w:rsidRPr="007F0E65" w:rsidRDefault="00D14AC7" w:rsidP="003E40E3">
            <w:pPr>
              <w:ind w:hanging="54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14AC7" w:rsidRPr="007F0E65" w14:paraId="33D51F97" w14:textId="77777777" w:rsidTr="003E40E3">
        <w:trPr>
          <w:jc w:val="center"/>
        </w:trPr>
        <w:tc>
          <w:tcPr>
            <w:tcW w:w="5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1F92" w14:textId="77777777" w:rsidR="00D14AC7" w:rsidRPr="007F0E65" w:rsidRDefault="00D14AC7" w:rsidP="003E40E3">
            <w:pPr>
              <w:spacing w:line="256" w:lineRule="auto"/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8703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1F93" w14:textId="77777777" w:rsidR="00D14AC7" w:rsidRPr="00BB4D43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  <w:lang w:val="pt-BR"/>
              </w:rPr>
            </w:pPr>
            <w:r w:rsidRPr="00BB4D43">
              <w:rPr>
                <w:sz w:val="18"/>
                <w:szCs w:val="18"/>
                <w:lang w:val="pt-BR"/>
              </w:rPr>
              <w:t>Autoturism de lux, cu excepția mijloacelor de transport importate în scopuri medicale clasificate la poziția tarifară 8703</w:t>
            </w: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600000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5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2</w:t>
            </w:r>
          </w:p>
        </w:tc>
      </w:tr>
      <w:tr w:rsidR="00D14AC7" w:rsidRPr="007F0E65" w14:paraId="33D51F9D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8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9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B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9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3</w:t>
            </w:r>
          </w:p>
        </w:tc>
      </w:tr>
      <w:tr w:rsidR="00D14AC7" w:rsidRPr="007F0E65" w14:paraId="33D51FA3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E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9F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0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1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4</w:t>
            </w:r>
          </w:p>
        </w:tc>
      </w:tr>
      <w:tr w:rsidR="00D14AC7" w:rsidRPr="007F0E65" w14:paraId="33D51FA9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4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5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7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5</w:t>
            </w:r>
          </w:p>
        </w:tc>
      </w:tr>
      <w:tr w:rsidR="00D14AC7" w:rsidRPr="007F0E65" w14:paraId="33D51FAF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A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AB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C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D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A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6</w:t>
            </w:r>
          </w:p>
        </w:tc>
      </w:tr>
      <w:tr w:rsidR="00D14AC7" w:rsidRPr="007F0E65" w14:paraId="33D51FB5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0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1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2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1200001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3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7</w:t>
            </w:r>
          </w:p>
        </w:tc>
      </w:tr>
      <w:tr w:rsidR="00D14AC7" w:rsidRPr="007F0E65" w14:paraId="33D51FBB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6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7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8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1400001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9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A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8</w:t>
            </w:r>
          </w:p>
        </w:tc>
      </w:tr>
      <w:tr w:rsidR="00D14AC7" w:rsidRPr="007F0E65" w14:paraId="33D51FC1" w14:textId="77777777" w:rsidTr="003E40E3">
        <w:trPr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C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BD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E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1600001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BF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0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9</w:t>
            </w:r>
          </w:p>
        </w:tc>
      </w:tr>
      <w:tr w:rsidR="00D14AC7" w:rsidRPr="007F0E65" w14:paraId="33D51FC7" w14:textId="77777777" w:rsidTr="003E40E3">
        <w:trPr>
          <w:trHeight w:val="401"/>
          <w:jc w:val="center"/>
        </w:trPr>
        <w:tc>
          <w:tcPr>
            <w:tcW w:w="5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C2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51FC3" w14:textId="77777777" w:rsidR="00D14AC7" w:rsidRPr="007F0E65" w:rsidRDefault="00D14AC7" w:rsidP="003E40E3">
            <w:pPr>
              <w:spacing w:line="25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4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1800001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5" w14:textId="77777777" w:rsidR="00D14AC7" w:rsidRPr="007F0E65" w:rsidRDefault="00D14AC7" w:rsidP="003E40E3">
            <w:pPr>
              <w:spacing w:after="160" w:line="256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51FC6" w14:textId="77777777" w:rsidR="00D14AC7" w:rsidRPr="007F0E65" w:rsidRDefault="00D14AC7" w:rsidP="003E40E3">
            <w:pPr>
              <w:ind w:firstLine="0"/>
              <w:jc w:val="center"/>
              <w:rPr>
                <w:sz w:val="18"/>
                <w:szCs w:val="18"/>
              </w:rPr>
            </w:pPr>
            <w:r w:rsidRPr="007F0E65">
              <w:rPr>
                <w:sz w:val="18"/>
                <w:szCs w:val="18"/>
              </w:rPr>
              <w:t>10</w:t>
            </w:r>
          </w:p>
        </w:tc>
      </w:tr>
    </w:tbl>
    <w:p w14:paraId="33D51FC8" w14:textId="77777777" w:rsidR="00D14AC7" w:rsidRPr="00316537" w:rsidRDefault="00D14AC7" w:rsidP="00D14AC7">
      <w:pPr>
        <w:ind w:firstLine="567"/>
        <w:rPr>
          <w:sz w:val="24"/>
          <w:szCs w:val="24"/>
        </w:rPr>
      </w:pPr>
      <w:r w:rsidRPr="00316537">
        <w:rPr>
          <w:sz w:val="24"/>
          <w:szCs w:val="24"/>
        </w:rPr>
        <w:t> </w:t>
      </w:r>
    </w:p>
    <w:p w14:paraId="4DC5BAFF" w14:textId="3D55738A" w:rsidR="00BB4D43" w:rsidRP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t>Tabelul nr. 3</w:t>
      </w:r>
    </w:p>
    <w:p w14:paraId="35A3B2F6" w14:textId="77777777" w:rsidR="00BB4D43" w:rsidRP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t> </w:t>
      </w:r>
    </w:p>
    <w:tbl>
      <w:tblPr>
        <w:tblW w:w="113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1"/>
        <w:gridCol w:w="2127"/>
        <w:gridCol w:w="3260"/>
        <w:gridCol w:w="1592"/>
      </w:tblGrid>
      <w:tr w:rsidR="00BB4D43" w:rsidRPr="00BB4D43" w14:paraId="51F8775E" w14:textId="77777777" w:rsidTr="00BB4D43">
        <w:trPr>
          <w:jc w:val="center"/>
        </w:trPr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415578A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b/>
                <w:bCs/>
                <w:sz w:val="24"/>
                <w:szCs w:val="24"/>
                <w:lang w:val="ro-MD"/>
              </w:rPr>
              <w:t>Poziția tarifară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1CC309C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b/>
                <w:bCs/>
                <w:sz w:val="24"/>
                <w:szCs w:val="24"/>
                <w:lang w:val="ro-MD"/>
              </w:rPr>
              <w:t>Categoria</w:t>
            </w:r>
            <w:r w:rsidRPr="00BB4D43">
              <w:rPr>
                <w:b/>
                <w:bCs/>
                <w:sz w:val="24"/>
                <w:szCs w:val="24"/>
                <w:lang w:val="ro-MD"/>
              </w:rPr>
              <w:br/>
              <w:t>vehiculului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3171A498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b/>
                <w:bCs/>
                <w:sz w:val="24"/>
                <w:szCs w:val="24"/>
                <w:lang w:val="ro-MD"/>
              </w:rPr>
              <w:t>Vârsta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41F7A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b/>
                <w:bCs/>
                <w:sz w:val="24"/>
                <w:szCs w:val="24"/>
                <w:lang w:val="ro-MD"/>
              </w:rPr>
              <w:t>Acciza</w:t>
            </w:r>
            <w:r w:rsidRPr="00BB4D43">
              <w:rPr>
                <w:b/>
                <w:bCs/>
                <w:sz w:val="24"/>
                <w:szCs w:val="24"/>
                <w:lang w:val="ro-MD"/>
              </w:rPr>
              <w:br/>
              <w:t>specială,</w:t>
            </w:r>
            <w:r w:rsidRPr="00BB4D43">
              <w:rPr>
                <w:b/>
                <w:bCs/>
                <w:sz w:val="24"/>
                <w:szCs w:val="24"/>
                <w:lang w:val="ro-MD"/>
              </w:rPr>
              <w:br/>
              <w:t>lei/cm</w:t>
            </w:r>
            <w:r w:rsidRPr="00BB4D43">
              <w:rPr>
                <w:b/>
                <w:bCs/>
                <w:sz w:val="24"/>
                <w:szCs w:val="24"/>
                <w:vertAlign w:val="superscript"/>
                <w:lang w:val="ro-MD"/>
              </w:rPr>
              <w:t>3</w:t>
            </w:r>
          </w:p>
        </w:tc>
      </w:tr>
      <w:tr w:rsidR="00BB4D43" w:rsidRPr="00BB4D43" w14:paraId="1612C565" w14:textId="77777777" w:rsidTr="00BB4D43">
        <w:trPr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8284A" w14:textId="77777777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Tractoare clasificate</w:t>
            </w:r>
          </w:p>
          <w:p w14:paraId="07FE823E" w14:textId="77777777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la pozițiile tarifare</w:t>
            </w:r>
          </w:p>
          <w:p w14:paraId="49D73274" w14:textId="77777777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870121000–870121900, 870122000–870122900, 870123000–870123900, 870129000, 870191900, 870192900, 870193900, 870194900, 870195900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B7733E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CE8F8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până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122499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0</w:t>
            </w:r>
          </w:p>
        </w:tc>
      </w:tr>
      <w:tr w:rsidR="00BB4D43" w:rsidRPr="00BB4D43" w14:paraId="0FEB9180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2B75ED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57F4D1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57C919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A8F62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10</w:t>
            </w:r>
          </w:p>
        </w:tc>
      </w:tr>
      <w:tr w:rsidR="00BB4D43" w:rsidRPr="00BB4D43" w14:paraId="47CE9654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398861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31E9DF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5FACA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la 18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2C4A5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20</w:t>
            </w:r>
          </w:p>
        </w:tc>
      </w:tr>
      <w:tr w:rsidR="00BB4D43" w:rsidRPr="00BB4D43" w14:paraId="1CCD4AEA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B69EAAF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95D1112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49CAE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19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DBA170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60</w:t>
            </w:r>
          </w:p>
        </w:tc>
      </w:tr>
      <w:tr w:rsidR="00BB4D43" w:rsidRPr="00BB4D43" w14:paraId="799D558F" w14:textId="77777777" w:rsidTr="00BB4D43">
        <w:trPr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87009A" w14:textId="77777777" w:rsid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Autovehicule clasificate</w:t>
            </w:r>
          </w:p>
          <w:p w14:paraId="7529374D" w14:textId="53E0D638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la poziția tarifară 8702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3B8A6B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M2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3A180C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până la 7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92A6D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0</w:t>
            </w:r>
          </w:p>
        </w:tc>
      </w:tr>
      <w:tr w:rsidR="00BB4D43" w:rsidRPr="00BB4D43" w14:paraId="6F8BA0E6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E85778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706EA3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1271A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8 la 10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5D9A6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8</w:t>
            </w:r>
          </w:p>
        </w:tc>
      </w:tr>
      <w:tr w:rsidR="00BB4D43" w:rsidRPr="00BB4D43" w14:paraId="58CCE749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A89176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E14A17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40F40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11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9DB3F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16</w:t>
            </w:r>
          </w:p>
        </w:tc>
      </w:tr>
      <w:tr w:rsidR="00BB4D43" w:rsidRPr="00BB4D43" w14:paraId="699F6C43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7D1CED6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F8B01F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980F0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242B57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30</w:t>
            </w:r>
          </w:p>
        </w:tc>
      </w:tr>
      <w:tr w:rsidR="00BB4D43" w:rsidRPr="00BB4D43" w14:paraId="2F12143D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09475E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03B2C0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ED1BD0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0A68C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80</w:t>
            </w:r>
          </w:p>
        </w:tc>
      </w:tr>
      <w:tr w:rsidR="00BB4D43" w:rsidRPr="00BB4D43" w14:paraId="3635F7B9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9F37A8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1D84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M3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449F6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până la 10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649B1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0</w:t>
            </w:r>
          </w:p>
        </w:tc>
      </w:tr>
      <w:tr w:rsidR="00BB4D43" w:rsidRPr="00BB4D43" w14:paraId="27105822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6D47AD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639F06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D88797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11 la 12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6809A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5</w:t>
            </w:r>
          </w:p>
        </w:tc>
      </w:tr>
      <w:tr w:rsidR="00BB4D43" w:rsidRPr="00BB4D43" w14:paraId="04608C00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11CF11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419A49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8DDEE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13 la 15 ani inclusiv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6AD3C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10</w:t>
            </w:r>
          </w:p>
        </w:tc>
      </w:tr>
      <w:tr w:rsidR="00BB4D43" w:rsidRPr="00BB4D43" w14:paraId="130E4288" w14:textId="77777777" w:rsidTr="00BB4D43">
        <w:trPr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E78E21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444F51" w14:textId="77777777" w:rsidR="00BB4D43" w:rsidRPr="00BB4D43" w:rsidRDefault="00BB4D43" w:rsidP="00BB4D43">
            <w:pPr>
              <w:ind w:firstLine="567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A3D3A1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FAB569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60</w:t>
            </w:r>
          </w:p>
        </w:tc>
      </w:tr>
      <w:tr w:rsidR="00BB4D43" w:rsidRPr="00BB4D43" w14:paraId="253DAC13" w14:textId="77777777" w:rsidTr="00BB4D43">
        <w:trPr>
          <w:trHeight w:val="225"/>
          <w:jc w:val="center"/>
        </w:trPr>
        <w:tc>
          <w:tcPr>
            <w:tcW w:w="43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1B1687" w14:textId="77777777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Autovehicule clasificate</w:t>
            </w:r>
          </w:p>
          <w:p w14:paraId="480E7A5E" w14:textId="77777777" w:rsid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la pozițiile tarifare</w:t>
            </w:r>
          </w:p>
          <w:p w14:paraId="66BC472A" w14:textId="2A09765C" w:rsidR="00BB4D43" w:rsidRPr="00BB4D43" w:rsidRDefault="00BB4D43" w:rsidP="00BB4D43">
            <w:pPr>
              <w:ind w:firstLine="0"/>
              <w:jc w:val="left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8704 și 8705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30AB2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N1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BE32D7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B15CB0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80</w:t>
            </w:r>
          </w:p>
        </w:tc>
      </w:tr>
      <w:tr w:rsidR="00BB4D43" w:rsidRPr="00BB4D43" w14:paraId="199D5DBF" w14:textId="77777777" w:rsidTr="00BB4D43">
        <w:trPr>
          <w:trHeight w:val="225"/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9FF0A2D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63FCE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N2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3AAB69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B25C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60</w:t>
            </w:r>
          </w:p>
        </w:tc>
      </w:tr>
      <w:tr w:rsidR="00BB4D43" w:rsidRPr="00BB4D43" w14:paraId="57252F73" w14:textId="77777777" w:rsidTr="00BB4D43">
        <w:trPr>
          <w:trHeight w:val="225"/>
          <w:jc w:val="center"/>
        </w:trPr>
        <w:tc>
          <w:tcPr>
            <w:tcW w:w="43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22388F" w14:textId="77777777" w:rsidR="00BB4D43" w:rsidRPr="00BB4D43" w:rsidRDefault="00BB4D43" w:rsidP="00BB4D43">
            <w:pPr>
              <w:ind w:firstLine="567"/>
              <w:jc w:val="left"/>
              <w:rPr>
                <w:sz w:val="24"/>
                <w:szCs w:val="24"/>
                <w:lang w:val="ro-MD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E0AD6D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N3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6A0284" w14:textId="77777777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de la 16 ani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F6C94" w14:textId="6E7944E8" w:rsidR="00BB4D43" w:rsidRPr="00BB4D43" w:rsidRDefault="00BB4D43" w:rsidP="00BB4D43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BB4D43">
              <w:rPr>
                <w:sz w:val="24"/>
                <w:szCs w:val="24"/>
                <w:lang w:val="ro-MD"/>
              </w:rPr>
              <w:t>60</w:t>
            </w:r>
          </w:p>
        </w:tc>
      </w:tr>
    </w:tbl>
    <w:p w14:paraId="33D5204F" w14:textId="5C3A56DB" w:rsidR="007D01CB" w:rsidRPr="00BB4D43" w:rsidRDefault="00BB4D43" w:rsidP="00BB4D43">
      <w:pPr>
        <w:ind w:firstLine="567"/>
        <w:jc w:val="right"/>
        <w:rPr>
          <w:sz w:val="24"/>
          <w:szCs w:val="24"/>
          <w:lang w:val="ro-MD"/>
        </w:rPr>
      </w:pPr>
      <w:r w:rsidRPr="00BB4D43">
        <w:rPr>
          <w:sz w:val="24"/>
          <w:szCs w:val="24"/>
          <w:lang w:val="ro-MD"/>
        </w:rPr>
        <w:t> </w:t>
      </w:r>
    </w:p>
    <w:sectPr w:rsidR="007D01CB" w:rsidRPr="00BB4D43" w:rsidSect="00D14AC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AC7"/>
    <w:rsid w:val="007D01CB"/>
    <w:rsid w:val="00990F81"/>
    <w:rsid w:val="00BB4D43"/>
    <w:rsid w:val="00D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1E80"/>
  <w15:docId w15:val="{D2789082-2766-4DAF-8618-5D457D9A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AC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850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Violina Lungu</cp:lastModifiedBy>
  <cp:revision>4</cp:revision>
  <dcterms:created xsi:type="dcterms:W3CDTF">2022-01-03T09:12:00Z</dcterms:created>
  <dcterms:modified xsi:type="dcterms:W3CDTF">2024-02-10T11:47:00Z</dcterms:modified>
</cp:coreProperties>
</file>